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4F9" w:rsidRDefault="002B14F9"/>
    <w:p w:rsidR="004F3512" w:rsidRDefault="004F3512"/>
    <w:p w:rsidR="004F3512" w:rsidRDefault="004F3512"/>
    <w:p w:rsidR="00C126A3" w:rsidRPr="00C65CCE" w:rsidRDefault="000018A1" w:rsidP="00C126A3">
      <w:pPr>
        <w:jc w:val="right"/>
        <w:rPr>
          <w:sz w:val="20"/>
          <w:szCs w:val="20"/>
        </w:rPr>
      </w:pPr>
      <w:r w:rsidRPr="00C65CCE">
        <w:rPr>
          <w:sz w:val="20"/>
          <w:szCs w:val="20"/>
        </w:rPr>
        <w:t>Приложение 2</w:t>
      </w:r>
      <w:r w:rsidR="00C126A3" w:rsidRPr="00C65CCE">
        <w:rPr>
          <w:sz w:val="20"/>
          <w:szCs w:val="20"/>
        </w:rPr>
        <w:t xml:space="preserve"> к тендерной документации</w:t>
      </w:r>
      <w:r w:rsidR="005977AE" w:rsidRPr="00C65CCE">
        <w:rPr>
          <w:sz w:val="20"/>
          <w:szCs w:val="20"/>
        </w:rPr>
        <w:t>.</w:t>
      </w:r>
    </w:p>
    <w:p w:rsidR="004F3512" w:rsidRDefault="004F3512" w:rsidP="00C126A3">
      <w:pPr>
        <w:jc w:val="center"/>
        <w:rPr>
          <w:b/>
          <w:sz w:val="22"/>
          <w:szCs w:val="22"/>
        </w:rPr>
      </w:pPr>
    </w:p>
    <w:p w:rsidR="00C126A3" w:rsidRPr="00814170" w:rsidRDefault="00C126A3" w:rsidP="00C126A3">
      <w:pPr>
        <w:jc w:val="center"/>
        <w:rPr>
          <w:b/>
          <w:sz w:val="26"/>
          <w:szCs w:val="26"/>
        </w:rPr>
      </w:pPr>
      <w:r w:rsidRPr="00814170">
        <w:rPr>
          <w:b/>
          <w:sz w:val="26"/>
          <w:szCs w:val="26"/>
        </w:rPr>
        <w:t>Техническая спецификация</w:t>
      </w:r>
      <w:r w:rsidR="00D170EB" w:rsidRPr="00814170">
        <w:rPr>
          <w:b/>
          <w:sz w:val="26"/>
          <w:szCs w:val="26"/>
        </w:rPr>
        <w:t xml:space="preserve"> </w:t>
      </w:r>
      <w:r w:rsidRPr="00814170">
        <w:rPr>
          <w:b/>
          <w:bCs/>
          <w:sz w:val="26"/>
          <w:szCs w:val="26"/>
        </w:rPr>
        <w:t xml:space="preserve">медицинских изделий </w:t>
      </w:r>
    </w:p>
    <w:p w:rsidR="00C126A3" w:rsidRDefault="00C126A3" w:rsidP="00C126A3">
      <w:pPr>
        <w:rPr>
          <w:sz w:val="22"/>
          <w:szCs w:val="22"/>
        </w:rPr>
      </w:pPr>
    </w:p>
    <w:p w:rsidR="00814170" w:rsidRDefault="00814170" w:rsidP="00C126A3">
      <w:pPr>
        <w:rPr>
          <w:sz w:val="22"/>
          <w:szCs w:val="22"/>
        </w:rPr>
      </w:pPr>
    </w:p>
    <w:tbl>
      <w:tblPr>
        <w:tblStyle w:val="a3"/>
        <w:tblW w:w="0" w:type="auto"/>
        <w:jc w:val="center"/>
        <w:tblLook w:val="04A0"/>
      </w:tblPr>
      <w:tblGrid>
        <w:gridCol w:w="957"/>
        <w:gridCol w:w="4857"/>
        <w:gridCol w:w="8972"/>
      </w:tblGrid>
      <w:tr w:rsidR="00C126A3" w:rsidTr="00C126A3">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C126A3" w:rsidRDefault="00C126A3">
            <w:pPr>
              <w:rPr>
                <w:b/>
                <w:bCs/>
                <w:lang w:eastAsia="en-US"/>
              </w:rPr>
            </w:pPr>
            <w:r>
              <w:rPr>
                <w:b/>
                <w:bCs/>
                <w:lang w:eastAsia="en-US"/>
              </w:rPr>
              <w:t xml:space="preserve">Номер лота </w:t>
            </w:r>
          </w:p>
          <w:p w:rsidR="00C126A3" w:rsidRDefault="00C126A3">
            <w:pPr>
              <w:rPr>
                <w:lang w:eastAsia="en-US"/>
              </w:rPr>
            </w:pPr>
          </w:p>
        </w:tc>
        <w:tc>
          <w:tcPr>
            <w:tcW w:w="4857" w:type="dxa"/>
            <w:tcBorders>
              <w:top w:val="single" w:sz="4" w:space="0" w:color="auto"/>
              <w:left w:val="single" w:sz="4" w:space="0" w:color="auto"/>
              <w:bottom w:val="single" w:sz="4" w:space="0" w:color="auto"/>
              <w:right w:val="single" w:sz="4" w:space="0" w:color="auto"/>
            </w:tcBorders>
            <w:vAlign w:val="center"/>
            <w:hideMark/>
          </w:tcPr>
          <w:p w:rsidR="00C126A3" w:rsidRDefault="00C126A3">
            <w:pPr>
              <w:jc w:val="center"/>
              <w:rPr>
                <w:lang w:eastAsia="en-US"/>
              </w:rPr>
            </w:pPr>
            <w:r>
              <w:rPr>
                <w:b/>
                <w:bCs/>
                <w:lang w:eastAsia="en-US"/>
              </w:rPr>
              <w:t>Наименование медицинских</w:t>
            </w:r>
            <w:r w:rsidR="00D170EB">
              <w:rPr>
                <w:b/>
                <w:bCs/>
                <w:lang w:eastAsia="en-US"/>
              </w:rPr>
              <w:t xml:space="preserve"> </w:t>
            </w:r>
            <w:r>
              <w:rPr>
                <w:b/>
                <w:bCs/>
                <w:lang w:eastAsia="en-US"/>
              </w:rPr>
              <w:t>изделий</w:t>
            </w:r>
          </w:p>
        </w:tc>
        <w:tc>
          <w:tcPr>
            <w:tcW w:w="8972" w:type="dxa"/>
            <w:tcBorders>
              <w:top w:val="single" w:sz="4" w:space="0" w:color="auto"/>
              <w:left w:val="single" w:sz="4" w:space="0" w:color="auto"/>
              <w:bottom w:val="single" w:sz="4" w:space="0" w:color="auto"/>
              <w:right w:val="single" w:sz="4" w:space="0" w:color="auto"/>
            </w:tcBorders>
            <w:vAlign w:val="center"/>
            <w:hideMark/>
          </w:tcPr>
          <w:p w:rsidR="00C126A3" w:rsidRDefault="00C126A3">
            <w:pPr>
              <w:jc w:val="center"/>
              <w:rPr>
                <w:lang w:eastAsia="en-US"/>
              </w:rPr>
            </w:pPr>
            <w:r>
              <w:rPr>
                <w:b/>
                <w:bCs/>
                <w:lang w:eastAsia="en-US"/>
              </w:rPr>
              <w:t>Техническая спецификация</w:t>
            </w:r>
          </w:p>
        </w:tc>
      </w:tr>
      <w:tr w:rsidR="00C126A3" w:rsidTr="004F3512">
        <w:trPr>
          <w:trHeight w:val="5876"/>
          <w:jc w:val="center"/>
        </w:trPr>
        <w:tc>
          <w:tcPr>
            <w:tcW w:w="957" w:type="dxa"/>
            <w:tcBorders>
              <w:top w:val="single" w:sz="4" w:space="0" w:color="auto"/>
              <w:left w:val="single" w:sz="4" w:space="0" w:color="auto"/>
              <w:bottom w:val="single" w:sz="4" w:space="0" w:color="auto"/>
              <w:right w:val="single" w:sz="4" w:space="0" w:color="auto"/>
            </w:tcBorders>
            <w:vAlign w:val="center"/>
          </w:tcPr>
          <w:p w:rsidR="00C126A3" w:rsidRDefault="00C126A3">
            <w:pPr>
              <w:rPr>
                <w:b/>
                <w:bCs/>
                <w:lang w:eastAsia="en-US"/>
              </w:rPr>
            </w:pPr>
            <w:r>
              <w:rPr>
                <w:b/>
                <w:bCs/>
                <w:lang w:eastAsia="en-US"/>
              </w:rPr>
              <w:t>1</w:t>
            </w:r>
          </w:p>
        </w:tc>
        <w:tc>
          <w:tcPr>
            <w:tcW w:w="4857" w:type="dxa"/>
            <w:tcBorders>
              <w:top w:val="single" w:sz="4" w:space="0" w:color="auto"/>
              <w:left w:val="single" w:sz="4" w:space="0" w:color="auto"/>
              <w:bottom w:val="single" w:sz="4" w:space="0" w:color="auto"/>
              <w:right w:val="single" w:sz="4" w:space="0" w:color="auto"/>
            </w:tcBorders>
            <w:vAlign w:val="center"/>
            <w:hideMark/>
          </w:tcPr>
          <w:p w:rsidR="00C126A3" w:rsidRDefault="00C126A3" w:rsidP="00467E73"/>
          <w:p w:rsidR="00C126A3" w:rsidRPr="004F3512" w:rsidRDefault="00AA2409" w:rsidP="00AA2409">
            <w:pPr>
              <w:rPr>
                <w:b/>
                <w:bCs/>
                <w:sz w:val="24"/>
                <w:szCs w:val="24"/>
                <w:lang w:eastAsia="en-US"/>
              </w:rPr>
            </w:pPr>
            <w:r w:rsidRPr="004F3512">
              <w:rPr>
                <w:rFonts w:eastAsiaTheme="minorHAnsi"/>
                <w:color w:val="000000"/>
                <w:sz w:val="24"/>
                <w:szCs w:val="24"/>
                <w:lang w:eastAsia="en-US"/>
              </w:rPr>
              <w:t>Стерильные оболочки для операционного микроскопа</w:t>
            </w:r>
          </w:p>
        </w:tc>
        <w:tc>
          <w:tcPr>
            <w:tcW w:w="8972" w:type="dxa"/>
            <w:tcBorders>
              <w:top w:val="single" w:sz="4" w:space="0" w:color="auto"/>
              <w:left w:val="single" w:sz="4" w:space="0" w:color="auto"/>
              <w:bottom w:val="single" w:sz="4" w:space="0" w:color="auto"/>
              <w:right w:val="single" w:sz="4" w:space="0" w:color="auto"/>
            </w:tcBorders>
            <w:vAlign w:val="center"/>
            <w:hideMark/>
          </w:tcPr>
          <w:p w:rsidR="00AA2409" w:rsidRPr="00814170" w:rsidRDefault="00AA2409" w:rsidP="00252E1A">
            <w:pPr>
              <w:jc w:val="both"/>
              <w:rPr>
                <w:b/>
                <w:sz w:val="24"/>
                <w:szCs w:val="24"/>
              </w:rPr>
            </w:pPr>
            <w:r w:rsidRPr="00814170">
              <w:rPr>
                <w:bCs/>
                <w:sz w:val="24"/>
                <w:szCs w:val="24"/>
              </w:rPr>
              <w:t>Стерильные оболочки для операционно</w:t>
            </w:r>
            <w:r w:rsidR="000F2583" w:rsidRPr="00814170">
              <w:rPr>
                <w:bCs/>
                <w:sz w:val="24"/>
                <w:szCs w:val="24"/>
              </w:rPr>
              <w:t>го микроскопа</w:t>
            </w:r>
            <w:r w:rsidR="004F3512" w:rsidRPr="00814170">
              <w:rPr>
                <w:bCs/>
                <w:sz w:val="24"/>
                <w:szCs w:val="24"/>
              </w:rPr>
              <w:t xml:space="preserve"> </w:t>
            </w:r>
            <w:r w:rsidR="004F3512" w:rsidRPr="00814170">
              <w:rPr>
                <w:color w:val="000000"/>
                <w:sz w:val="24"/>
                <w:szCs w:val="24"/>
              </w:rPr>
              <w:t xml:space="preserve">с принадлежностями: </w:t>
            </w:r>
          </w:p>
          <w:p w:rsidR="00814170" w:rsidRDefault="004F3512" w:rsidP="00252E1A">
            <w:pPr>
              <w:jc w:val="both"/>
              <w:rPr>
                <w:sz w:val="24"/>
                <w:szCs w:val="24"/>
              </w:rPr>
            </w:pPr>
            <w:r w:rsidRPr="00814170">
              <w:rPr>
                <w:color w:val="000000"/>
                <w:sz w:val="24"/>
                <w:szCs w:val="24"/>
              </w:rPr>
              <w:t xml:space="preserve">Стерильная оболочка для ассистентских тубусов должна быть </w:t>
            </w:r>
            <w:proofErr w:type="spellStart"/>
            <w:r w:rsidRPr="00814170">
              <w:rPr>
                <w:sz w:val="24"/>
                <w:szCs w:val="24"/>
                <w:lang w:val="de-DE" w:eastAsia="de-DE"/>
              </w:rPr>
              <w:t>оснащена</w:t>
            </w:r>
            <w:proofErr w:type="spellEnd"/>
            <w:r w:rsidRPr="00814170">
              <w:rPr>
                <w:sz w:val="24"/>
                <w:szCs w:val="24"/>
                <w:lang w:val="de-DE" w:eastAsia="de-DE"/>
              </w:rPr>
              <w:t xml:space="preserve"> </w:t>
            </w:r>
            <w:proofErr w:type="spellStart"/>
            <w:r w:rsidRPr="00814170">
              <w:rPr>
                <w:sz w:val="24"/>
                <w:szCs w:val="24"/>
                <w:lang w:val="de-DE" w:eastAsia="de-DE"/>
              </w:rPr>
              <w:t>специальной</w:t>
            </w:r>
            <w:proofErr w:type="spellEnd"/>
            <w:r w:rsidRPr="00814170">
              <w:rPr>
                <w:sz w:val="24"/>
                <w:szCs w:val="24"/>
                <w:lang w:val="de-DE" w:eastAsia="de-DE"/>
              </w:rPr>
              <w:t xml:space="preserve"> </w:t>
            </w:r>
            <w:proofErr w:type="spellStart"/>
            <w:r w:rsidRPr="00814170">
              <w:rPr>
                <w:sz w:val="24"/>
                <w:szCs w:val="24"/>
                <w:lang w:val="de-DE" w:eastAsia="de-DE"/>
              </w:rPr>
              <w:t>защитной</w:t>
            </w:r>
            <w:proofErr w:type="spellEnd"/>
            <w:r w:rsidRPr="00814170">
              <w:rPr>
                <w:sz w:val="24"/>
                <w:szCs w:val="24"/>
                <w:lang w:val="de-DE" w:eastAsia="de-DE"/>
              </w:rPr>
              <w:t xml:space="preserve"> </w:t>
            </w:r>
            <w:proofErr w:type="spellStart"/>
            <w:r w:rsidRPr="00814170">
              <w:rPr>
                <w:sz w:val="24"/>
                <w:szCs w:val="24"/>
                <w:lang w:val="de-DE" w:eastAsia="de-DE"/>
              </w:rPr>
              <w:t>линзой</w:t>
            </w:r>
            <w:proofErr w:type="spellEnd"/>
            <w:r w:rsidRPr="00814170">
              <w:rPr>
                <w:sz w:val="24"/>
                <w:szCs w:val="24"/>
                <w:lang w:val="de-DE" w:eastAsia="de-DE"/>
              </w:rPr>
              <w:t xml:space="preserve"> </w:t>
            </w:r>
            <w:proofErr w:type="spellStart"/>
            <w:r w:rsidRPr="00814170">
              <w:rPr>
                <w:sz w:val="24"/>
                <w:szCs w:val="24"/>
                <w:lang w:val="de-DE" w:eastAsia="de-DE"/>
              </w:rPr>
              <w:t>для</w:t>
            </w:r>
            <w:proofErr w:type="spellEnd"/>
            <w:r w:rsidRPr="00814170">
              <w:rPr>
                <w:sz w:val="24"/>
                <w:szCs w:val="24"/>
                <w:lang w:val="de-DE" w:eastAsia="de-DE"/>
              </w:rPr>
              <w:t xml:space="preserve"> </w:t>
            </w:r>
            <w:proofErr w:type="spellStart"/>
            <w:r w:rsidRPr="00814170">
              <w:rPr>
                <w:sz w:val="24"/>
                <w:szCs w:val="24"/>
                <w:lang w:val="de-DE" w:eastAsia="de-DE"/>
              </w:rPr>
              <w:t>объектива</w:t>
            </w:r>
            <w:proofErr w:type="spellEnd"/>
            <w:r w:rsidRPr="00814170">
              <w:rPr>
                <w:sz w:val="24"/>
                <w:szCs w:val="24"/>
                <w:lang w:val="de-DE" w:eastAsia="de-DE"/>
              </w:rPr>
              <w:t xml:space="preserve"> </w:t>
            </w:r>
            <w:proofErr w:type="spellStart"/>
            <w:r w:rsidRPr="00814170">
              <w:rPr>
                <w:sz w:val="24"/>
                <w:szCs w:val="24"/>
                <w:lang w:val="de-DE" w:eastAsia="de-DE"/>
              </w:rPr>
              <w:t>микроскопа</w:t>
            </w:r>
            <w:proofErr w:type="spellEnd"/>
            <w:r w:rsidRPr="00814170">
              <w:rPr>
                <w:sz w:val="24"/>
                <w:szCs w:val="24"/>
                <w:lang w:val="de-DE" w:eastAsia="de-DE"/>
              </w:rPr>
              <w:t xml:space="preserve">, </w:t>
            </w:r>
            <w:proofErr w:type="spellStart"/>
            <w:r w:rsidRPr="00814170">
              <w:rPr>
                <w:sz w:val="24"/>
                <w:szCs w:val="24"/>
                <w:lang w:val="de-DE" w:eastAsia="de-DE"/>
              </w:rPr>
              <w:t>расположенным</w:t>
            </w:r>
            <w:proofErr w:type="spellEnd"/>
            <w:r w:rsidRPr="00814170">
              <w:rPr>
                <w:sz w:val="24"/>
                <w:szCs w:val="24"/>
                <w:lang w:val="de-DE" w:eastAsia="de-DE"/>
              </w:rPr>
              <w:t xml:space="preserve"> </w:t>
            </w:r>
            <w:proofErr w:type="spellStart"/>
            <w:r w:rsidRPr="00814170">
              <w:rPr>
                <w:sz w:val="24"/>
                <w:szCs w:val="24"/>
                <w:lang w:val="de-DE" w:eastAsia="de-DE"/>
              </w:rPr>
              <w:t>под</w:t>
            </w:r>
            <w:proofErr w:type="spellEnd"/>
            <w:r w:rsidRPr="00814170">
              <w:rPr>
                <w:sz w:val="24"/>
                <w:szCs w:val="24"/>
                <w:lang w:val="de-DE" w:eastAsia="de-DE"/>
              </w:rPr>
              <w:t xml:space="preserve"> </w:t>
            </w:r>
            <w:proofErr w:type="spellStart"/>
            <w:r w:rsidRPr="00814170">
              <w:rPr>
                <w:sz w:val="24"/>
                <w:szCs w:val="24"/>
                <w:lang w:val="de-DE" w:eastAsia="de-DE"/>
              </w:rPr>
              <w:t>углом</w:t>
            </w:r>
            <w:proofErr w:type="spellEnd"/>
            <w:r w:rsidRPr="00814170">
              <w:rPr>
                <w:sz w:val="24"/>
                <w:szCs w:val="24"/>
                <w:lang w:val="de-DE" w:eastAsia="de-DE"/>
              </w:rPr>
              <w:t xml:space="preserve"> к </w:t>
            </w:r>
            <w:proofErr w:type="spellStart"/>
            <w:r w:rsidRPr="00814170">
              <w:rPr>
                <w:sz w:val="24"/>
                <w:szCs w:val="24"/>
                <w:lang w:val="de-DE" w:eastAsia="de-DE"/>
              </w:rPr>
              <w:t>объективу</w:t>
            </w:r>
            <w:proofErr w:type="spellEnd"/>
            <w:r w:rsidRPr="00814170">
              <w:rPr>
                <w:sz w:val="24"/>
                <w:szCs w:val="24"/>
                <w:lang w:val="de-DE" w:eastAsia="de-DE"/>
              </w:rPr>
              <w:t xml:space="preserve">, </w:t>
            </w:r>
            <w:proofErr w:type="spellStart"/>
            <w:r w:rsidRPr="00814170">
              <w:rPr>
                <w:sz w:val="24"/>
                <w:szCs w:val="24"/>
                <w:lang w:val="de-DE" w:eastAsia="de-DE"/>
              </w:rPr>
              <w:t>для</w:t>
            </w:r>
            <w:proofErr w:type="spellEnd"/>
            <w:r w:rsidRPr="00814170">
              <w:rPr>
                <w:sz w:val="24"/>
                <w:szCs w:val="24"/>
                <w:lang w:val="de-DE" w:eastAsia="de-DE"/>
              </w:rPr>
              <w:t xml:space="preserve"> </w:t>
            </w:r>
            <w:proofErr w:type="spellStart"/>
            <w:r w:rsidRPr="00814170">
              <w:rPr>
                <w:sz w:val="24"/>
                <w:szCs w:val="24"/>
                <w:lang w:val="de-DE" w:eastAsia="de-DE"/>
              </w:rPr>
              <w:t>исключения</w:t>
            </w:r>
            <w:proofErr w:type="spellEnd"/>
            <w:r w:rsidRPr="00814170">
              <w:rPr>
                <w:sz w:val="24"/>
                <w:szCs w:val="24"/>
                <w:lang w:val="de-DE" w:eastAsia="de-DE"/>
              </w:rPr>
              <w:t xml:space="preserve">  </w:t>
            </w:r>
            <w:proofErr w:type="spellStart"/>
            <w:r w:rsidRPr="00814170">
              <w:rPr>
                <w:sz w:val="24"/>
                <w:szCs w:val="24"/>
                <w:lang w:val="de-DE" w:eastAsia="de-DE"/>
              </w:rPr>
              <w:t>бликов</w:t>
            </w:r>
            <w:proofErr w:type="spellEnd"/>
            <w:r w:rsidRPr="00814170">
              <w:rPr>
                <w:sz w:val="24"/>
                <w:szCs w:val="24"/>
                <w:lang w:val="de-DE" w:eastAsia="de-DE"/>
              </w:rPr>
              <w:t xml:space="preserve"> </w:t>
            </w:r>
            <w:proofErr w:type="spellStart"/>
            <w:r w:rsidRPr="00814170">
              <w:rPr>
                <w:sz w:val="24"/>
                <w:szCs w:val="24"/>
                <w:lang w:val="de-DE" w:eastAsia="de-DE"/>
              </w:rPr>
              <w:t>от</w:t>
            </w:r>
            <w:proofErr w:type="spellEnd"/>
            <w:r w:rsidRPr="00814170">
              <w:rPr>
                <w:sz w:val="24"/>
                <w:szCs w:val="24"/>
                <w:lang w:val="de-DE" w:eastAsia="de-DE"/>
              </w:rPr>
              <w:t xml:space="preserve"> </w:t>
            </w:r>
            <w:proofErr w:type="spellStart"/>
            <w:r w:rsidRPr="00814170">
              <w:rPr>
                <w:sz w:val="24"/>
                <w:szCs w:val="24"/>
                <w:lang w:val="de-DE" w:eastAsia="de-DE"/>
              </w:rPr>
              <w:t>источника</w:t>
            </w:r>
            <w:proofErr w:type="spellEnd"/>
            <w:r w:rsidRPr="00814170">
              <w:rPr>
                <w:sz w:val="24"/>
                <w:szCs w:val="24"/>
                <w:lang w:val="de-DE" w:eastAsia="de-DE"/>
              </w:rPr>
              <w:t xml:space="preserve"> </w:t>
            </w:r>
            <w:proofErr w:type="spellStart"/>
            <w:r w:rsidRPr="00814170">
              <w:rPr>
                <w:sz w:val="24"/>
                <w:szCs w:val="24"/>
                <w:lang w:val="de-DE" w:eastAsia="de-DE"/>
              </w:rPr>
              <w:t>света</w:t>
            </w:r>
            <w:proofErr w:type="spellEnd"/>
            <w:r w:rsidRPr="00814170">
              <w:rPr>
                <w:sz w:val="24"/>
                <w:szCs w:val="24"/>
                <w:lang w:val="de-DE" w:eastAsia="de-DE"/>
              </w:rPr>
              <w:t xml:space="preserve">, </w:t>
            </w:r>
            <w:proofErr w:type="spellStart"/>
            <w:r w:rsidRPr="00814170">
              <w:rPr>
                <w:sz w:val="24"/>
                <w:szCs w:val="24"/>
                <w:lang w:val="de-DE" w:eastAsia="de-DE"/>
              </w:rPr>
              <w:t>диаметр</w:t>
            </w:r>
            <w:proofErr w:type="spellEnd"/>
            <w:r w:rsidRPr="00814170">
              <w:rPr>
                <w:sz w:val="24"/>
                <w:szCs w:val="24"/>
                <w:lang w:val="de-DE" w:eastAsia="de-DE"/>
              </w:rPr>
              <w:t xml:space="preserve"> </w:t>
            </w:r>
            <w:proofErr w:type="spellStart"/>
            <w:r w:rsidRPr="00814170">
              <w:rPr>
                <w:sz w:val="24"/>
                <w:szCs w:val="24"/>
                <w:lang w:val="de-DE" w:eastAsia="de-DE"/>
              </w:rPr>
              <w:t>линзы</w:t>
            </w:r>
            <w:proofErr w:type="spellEnd"/>
            <w:r w:rsidRPr="00814170">
              <w:rPr>
                <w:sz w:val="24"/>
                <w:szCs w:val="24"/>
                <w:lang w:val="de-DE" w:eastAsia="de-DE"/>
              </w:rPr>
              <w:t xml:space="preserve"> </w:t>
            </w:r>
            <w:proofErr w:type="spellStart"/>
            <w:r w:rsidRPr="00814170">
              <w:rPr>
                <w:sz w:val="24"/>
                <w:szCs w:val="24"/>
                <w:lang w:val="de-DE" w:eastAsia="de-DE"/>
              </w:rPr>
              <w:t>не</w:t>
            </w:r>
            <w:proofErr w:type="spellEnd"/>
            <w:r w:rsidRPr="00814170">
              <w:rPr>
                <w:sz w:val="24"/>
                <w:szCs w:val="24"/>
                <w:lang w:val="de-DE" w:eastAsia="de-DE"/>
              </w:rPr>
              <w:t xml:space="preserve"> </w:t>
            </w:r>
            <w:proofErr w:type="spellStart"/>
            <w:r w:rsidRPr="00814170">
              <w:rPr>
                <w:sz w:val="24"/>
                <w:szCs w:val="24"/>
                <w:lang w:val="de-DE" w:eastAsia="de-DE"/>
              </w:rPr>
              <w:t>более</w:t>
            </w:r>
            <w:proofErr w:type="spellEnd"/>
            <w:r w:rsidRPr="00814170">
              <w:rPr>
                <w:sz w:val="24"/>
                <w:szCs w:val="24"/>
                <w:lang w:val="de-DE" w:eastAsia="de-DE"/>
              </w:rPr>
              <w:t xml:space="preserve"> 65 </w:t>
            </w:r>
            <w:proofErr w:type="spellStart"/>
            <w:r w:rsidRPr="00814170">
              <w:rPr>
                <w:sz w:val="24"/>
                <w:szCs w:val="24"/>
                <w:lang w:val="de-DE" w:eastAsia="de-DE"/>
              </w:rPr>
              <w:t>мм</w:t>
            </w:r>
            <w:proofErr w:type="spellEnd"/>
            <w:r w:rsidRPr="00814170">
              <w:rPr>
                <w:sz w:val="24"/>
                <w:szCs w:val="24"/>
                <w:lang w:val="de-DE" w:eastAsia="de-DE"/>
              </w:rPr>
              <w:t xml:space="preserve">, </w:t>
            </w:r>
            <w:proofErr w:type="spellStart"/>
            <w:r w:rsidRPr="00814170">
              <w:rPr>
                <w:sz w:val="24"/>
                <w:szCs w:val="24"/>
                <w:lang w:val="de-DE" w:eastAsia="de-DE"/>
              </w:rPr>
              <w:t>толщина</w:t>
            </w:r>
            <w:proofErr w:type="spellEnd"/>
            <w:r w:rsidRPr="00814170">
              <w:rPr>
                <w:sz w:val="24"/>
                <w:szCs w:val="24"/>
                <w:lang w:val="de-DE" w:eastAsia="de-DE"/>
              </w:rPr>
              <w:t xml:space="preserve"> </w:t>
            </w:r>
            <w:r w:rsidRPr="00814170">
              <w:rPr>
                <w:sz w:val="24"/>
                <w:szCs w:val="24"/>
                <w:lang w:eastAsia="de-DE"/>
              </w:rPr>
              <w:t xml:space="preserve"> не менее </w:t>
            </w:r>
            <w:r w:rsidRPr="00814170">
              <w:rPr>
                <w:sz w:val="24"/>
                <w:szCs w:val="24"/>
                <w:lang w:val="de-DE" w:eastAsia="de-DE"/>
              </w:rPr>
              <w:t xml:space="preserve">1,2 </w:t>
            </w:r>
            <w:proofErr w:type="spellStart"/>
            <w:r w:rsidRPr="00814170">
              <w:rPr>
                <w:sz w:val="24"/>
                <w:szCs w:val="24"/>
                <w:lang w:val="de-DE" w:eastAsia="de-DE"/>
              </w:rPr>
              <w:t>мм</w:t>
            </w:r>
            <w:proofErr w:type="spellEnd"/>
            <w:r w:rsidRPr="00814170">
              <w:rPr>
                <w:sz w:val="24"/>
                <w:szCs w:val="24"/>
                <w:lang w:val="de-DE" w:eastAsia="de-DE"/>
              </w:rPr>
              <w:t xml:space="preserve">. </w:t>
            </w:r>
            <w:proofErr w:type="spellStart"/>
            <w:r w:rsidRPr="00814170">
              <w:rPr>
                <w:sz w:val="24"/>
                <w:szCs w:val="24"/>
                <w:lang w:val="de-DE" w:eastAsia="de-DE"/>
              </w:rPr>
              <w:t>Линза</w:t>
            </w:r>
            <w:proofErr w:type="spellEnd"/>
            <w:r w:rsidRPr="00814170">
              <w:rPr>
                <w:sz w:val="24"/>
                <w:szCs w:val="24"/>
                <w:lang w:val="de-DE" w:eastAsia="de-DE"/>
              </w:rPr>
              <w:t xml:space="preserve"> </w:t>
            </w:r>
            <w:proofErr w:type="spellStart"/>
            <w:r w:rsidRPr="00814170">
              <w:rPr>
                <w:sz w:val="24"/>
                <w:szCs w:val="24"/>
                <w:lang w:val="de-DE" w:eastAsia="de-DE"/>
              </w:rPr>
              <w:t>должна</w:t>
            </w:r>
            <w:proofErr w:type="spellEnd"/>
            <w:r w:rsidRPr="00814170">
              <w:rPr>
                <w:sz w:val="24"/>
                <w:szCs w:val="24"/>
                <w:lang w:val="de-DE" w:eastAsia="de-DE"/>
              </w:rPr>
              <w:t xml:space="preserve"> </w:t>
            </w:r>
            <w:proofErr w:type="spellStart"/>
            <w:r w:rsidRPr="00814170">
              <w:rPr>
                <w:sz w:val="24"/>
                <w:szCs w:val="24"/>
                <w:lang w:val="de-DE" w:eastAsia="de-DE"/>
              </w:rPr>
              <w:t>быть</w:t>
            </w:r>
            <w:proofErr w:type="spellEnd"/>
            <w:r w:rsidRPr="00814170">
              <w:rPr>
                <w:sz w:val="24"/>
                <w:szCs w:val="24"/>
                <w:lang w:val="de-DE" w:eastAsia="de-DE"/>
              </w:rPr>
              <w:t xml:space="preserve"> </w:t>
            </w:r>
            <w:proofErr w:type="spellStart"/>
            <w:r w:rsidRPr="00814170">
              <w:rPr>
                <w:sz w:val="24"/>
                <w:szCs w:val="24"/>
                <w:lang w:val="de-DE" w:eastAsia="de-DE"/>
              </w:rPr>
              <w:t>защищена</w:t>
            </w:r>
            <w:proofErr w:type="spellEnd"/>
            <w:r w:rsidRPr="00814170">
              <w:rPr>
                <w:sz w:val="24"/>
                <w:szCs w:val="24"/>
                <w:lang w:val="de-DE" w:eastAsia="de-DE"/>
              </w:rPr>
              <w:t xml:space="preserve"> </w:t>
            </w:r>
            <w:proofErr w:type="spellStart"/>
            <w:r w:rsidRPr="00814170">
              <w:rPr>
                <w:sz w:val="24"/>
                <w:szCs w:val="24"/>
                <w:lang w:val="de-DE" w:eastAsia="de-DE"/>
              </w:rPr>
              <w:t>от</w:t>
            </w:r>
            <w:proofErr w:type="spellEnd"/>
            <w:r w:rsidRPr="00814170">
              <w:rPr>
                <w:sz w:val="24"/>
                <w:szCs w:val="24"/>
                <w:lang w:val="de-DE" w:eastAsia="de-DE"/>
              </w:rPr>
              <w:t xml:space="preserve"> </w:t>
            </w:r>
            <w:proofErr w:type="spellStart"/>
            <w:r w:rsidRPr="00814170">
              <w:rPr>
                <w:sz w:val="24"/>
                <w:szCs w:val="24"/>
                <w:lang w:val="de-DE" w:eastAsia="de-DE"/>
              </w:rPr>
              <w:t>царапин</w:t>
            </w:r>
            <w:proofErr w:type="spellEnd"/>
            <w:r w:rsidRPr="00814170">
              <w:rPr>
                <w:sz w:val="24"/>
                <w:szCs w:val="24"/>
                <w:lang w:val="de-DE" w:eastAsia="de-DE"/>
              </w:rPr>
              <w:t xml:space="preserve"> </w:t>
            </w:r>
            <w:proofErr w:type="spellStart"/>
            <w:r w:rsidRPr="00814170">
              <w:rPr>
                <w:sz w:val="24"/>
                <w:szCs w:val="24"/>
                <w:lang w:val="de-DE" w:eastAsia="de-DE"/>
              </w:rPr>
              <w:t>легкоснимаемой</w:t>
            </w:r>
            <w:proofErr w:type="spellEnd"/>
            <w:r w:rsidRPr="00814170">
              <w:rPr>
                <w:sz w:val="24"/>
                <w:szCs w:val="24"/>
                <w:lang w:val="de-DE" w:eastAsia="de-DE"/>
              </w:rPr>
              <w:t xml:space="preserve"> </w:t>
            </w:r>
            <w:proofErr w:type="spellStart"/>
            <w:r w:rsidRPr="00814170">
              <w:rPr>
                <w:sz w:val="24"/>
                <w:szCs w:val="24"/>
                <w:lang w:val="de-DE" w:eastAsia="de-DE"/>
              </w:rPr>
              <w:t>пленкой</w:t>
            </w:r>
            <w:proofErr w:type="spellEnd"/>
            <w:r w:rsidRPr="00814170">
              <w:rPr>
                <w:sz w:val="24"/>
                <w:szCs w:val="24"/>
                <w:lang w:val="de-DE" w:eastAsia="de-DE"/>
              </w:rPr>
              <w:t xml:space="preserve">, </w:t>
            </w:r>
            <w:proofErr w:type="spellStart"/>
            <w:r w:rsidRPr="00814170">
              <w:rPr>
                <w:sz w:val="24"/>
                <w:szCs w:val="24"/>
                <w:lang w:val="de-DE" w:eastAsia="de-DE"/>
              </w:rPr>
              <w:t>легко</w:t>
            </w:r>
            <w:proofErr w:type="spellEnd"/>
            <w:r w:rsidRPr="00814170">
              <w:rPr>
                <w:sz w:val="24"/>
                <w:szCs w:val="24"/>
                <w:lang w:val="de-DE" w:eastAsia="de-DE"/>
              </w:rPr>
              <w:t xml:space="preserve"> </w:t>
            </w:r>
            <w:proofErr w:type="spellStart"/>
            <w:r w:rsidRPr="00814170">
              <w:rPr>
                <w:sz w:val="24"/>
                <w:szCs w:val="24"/>
                <w:lang w:val="de-DE" w:eastAsia="de-DE"/>
              </w:rPr>
              <w:t>выниматься</w:t>
            </w:r>
            <w:proofErr w:type="spellEnd"/>
            <w:r w:rsidRPr="00814170">
              <w:rPr>
                <w:sz w:val="24"/>
                <w:szCs w:val="24"/>
                <w:lang w:val="de-DE" w:eastAsia="de-DE"/>
              </w:rPr>
              <w:t xml:space="preserve"> </w:t>
            </w:r>
            <w:proofErr w:type="spellStart"/>
            <w:r w:rsidRPr="00814170">
              <w:rPr>
                <w:sz w:val="24"/>
                <w:szCs w:val="24"/>
                <w:lang w:val="de-DE" w:eastAsia="de-DE"/>
              </w:rPr>
              <w:t>из</w:t>
            </w:r>
            <w:proofErr w:type="spellEnd"/>
            <w:r w:rsidRPr="00814170">
              <w:rPr>
                <w:sz w:val="24"/>
                <w:szCs w:val="24"/>
                <w:lang w:val="de-DE" w:eastAsia="de-DE"/>
              </w:rPr>
              <w:t xml:space="preserve"> </w:t>
            </w:r>
            <w:proofErr w:type="spellStart"/>
            <w:r w:rsidRPr="00814170">
              <w:rPr>
                <w:sz w:val="24"/>
                <w:szCs w:val="24"/>
                <w:lang w:val="de-DE" w:eastAsia="de-DE"/>
              </w:rPr>
              <w:t>держателя</w:t>
            </w:r>
            <w:proofErr w:type="spellEnd"/>
            <w:r w:rsidRPr="00814170">
              <w:rPr>
                <w:sz w:val="24"/>
                <w:szCs w:val="24"/>
                <w:lang w:val="de-DE" w:eastAsia="de-DE"/>
              </w:rPr>
              <w:t xml:space="preserve"> </w:t>
            </w:r>
            <w:proofErr w:type="spellStart"/>
            <w:r w:rsidRPr="00814170">
              <w:rPr>
                <w:sz w:val="24"/>
                <w:szCs w:val="24"/>
                <w:lang w:val="de-DE" w:eastAsia="de-DE"/>
              </w:rPr>
              <w:t>при</w:t>
            </w:r>
            <w:proofErr w:type="spellEnd"/>
            <w:r w:rsidRPr="00814170">
              <w:rPr>
                <w:sz w:val="24"/>
                <w:szCs w:val="24"/>
                <w:lang w:val="de-DE" w:eastAsia="de-DE"/>
              </w:rPr>
              <w:t xml:space="preserve"> </w:t>
            </w:r>
            <w:proofErr w:type="spellStart"/>
            <w:r w:rsidRPr="00814170">
              <w:rPr>
                <w:sz w:val="24"/>
                <w:szCs w:val="24"/>
                <w:lang w:val="de-DE" w:eastAsia="de-DE"/>
              </w:rPr>
              <w:t>помощи</w:t>
            </w:r>
            <w:proofErr w:type="spellEnd"/>
            <w:r w:rsidRPr="00814170">
              <w:rPr>
                <w:sz w:val="24"/>
                <w:szCs w:val="24"/>
                <w:lang w:val="de-DE" w:eastAsia="de-DE"/>
              </w:rPr>
              <w:t xml:space="preserve"> </w:t>
            </w:r>
            <w:proofErr w:type="spellStart"/>
            <w:r w:rsidRPr="00814170">
              <w:rPr>
                <w:sz w:val="24"/>
                <w:szCs w:val="24"/>
                <w:lang w:val="de-DE" w:eastAsia="de-DE"/>
              </w:rPr>
              <w:t>крепления</w:t>
            </w:r>
            <w:proofErr w:type="spellEnd"/>
            <w:r w:rsidRPr="00814170">
              <w:rPr>
                <w:sz w:val="24"/>
                <w:szCs w:val="24"/>
                <w:lang w:val="de-DE" w:eastAsia="de-DE"/>
              </w:rPr>
              <w:t xml:space="preserve"> </w:t>
            </w:r>
            <w:proofErr w:type="spellStart"/>
            <w:r w:rsidRPr="00814170">
              <w:rPr>
                <w:sz w:val="24"/>
                <w:szCs w:val="24"/>
                <w:lang w:val="de-DE" w:eastAsia="de-DE"/>
              </w:rPr>
              <w:t>типа</w:t>
            </w:r>
            <w:proofErr w:type="spellEnd"/>
            <w:r w:rsidRPr="00814170">
              <w:rPr>
                <w:sz w:val="24"/>
                <w:szCs w:val="24"/>
                <w:lang w:val="de-DE" w:eastAsia="de-DE"/>
              </w:rPr>
              <w:t xml:space="preserve"> «</w:t>
            </w:r>
            <w:proofErr w:type="spellStart"/>
            <w:r w:rsidRPr="00814170">
              <w:rPr>
                <w:sz w:val="24"/>
                <w:szCs w:val="24"/>
                <w:lang w:val="de-DE" w:eastAsia="de-DE"/>
              </w:rPr>
              <w:t>салазки</w:t>
            </w:r>
            <w:proofErr w:type="spellEnd"/>
            <w:r w:rsidRPr="00814170">
              <w:rPr>
                <w:sz w:val="24"/>
                <w:szCs w:val="24"/>
                <w:lang w:val="de-DE" w:eastAsia="de-DE"/>
              </w:rPr>
              <w:t xml:space="preserve">». </w:t>
            </w:r>
            <w:proofErr w:type="spellStart"/>
            <w:r w:rsidRPr="00814170">
              <w:rPr>
                <w:sz w:val="24"/>
                <w:szCs w:val="24"/>
                <w:lang w:val="de-DE" w:eastAsia="de-DE"/>
              </w:rPr>
              <w:t>Линза</w:t>
            </w:r>
            <w:proofErr w:type="spellEnd"/>
            <w:r w:rsidRPr="00814170">
              <w:rPr>
                <w:sz w:val="24"/>
                <w:szCs w:val="24"/>
                <w:lang w:val="de-DE" w:eastAsia="de-DE"/>
              </w:rPr>
              <w:t xml:space="preserve"> </w:t>
            </w:r>
            <w:proofErr w:type="spellStart"/>
            <w:r w:rsidRPr="00814170">
              <w:rPr>
                <w:sz w:val="24"/>
                <w:szCs w:val="24"/>
                <w:lang w:val="de-DE" w:eastAsia="de-DE"/>
              </w:rPr>
              <w:t>должна</w:t>
            </w:r>
            <w:proofErr w:type="spellEnd"/>
            <w:r w:rsidRPr="00814170">
              <w:rPr>
                <w:sz w:val="24"/>
                <w:szCs w:val="24"/>
                <w:lang w:val="de-DE" w:eastAsia="de-DE"/>
              </w:rPr>
              <w:t xml:space="preserve"> </w:t>
            </w:r>
            <w:proofErr w:type="spellStart"/>
            <w:r w:rsidRPr="00814170">
              <w:rPr>
                <w:sz w:val="24"/>
                <w:szCs w:val="24"/>
                <w:lang w:val="de-DE" w:eastAsia="de-DE"/>
              </w:rPr>
              <w:t>быть</w:t>
            </w:r>
            <w:proofErr w:type="spellEnd"/>
            <w:r w:rsidRPr="00814170">
              <w:rPr>
                <w:sz w:val="24"/>
                <w:szCs w:val="24"/>
                <w:lang w:val="de-DE" w:eastAsia="de-DE"/>
              </w:rPr>
              <w:t xml:space="preserve"> </w:t>
            </w:r>
            <w:proofErr w:type="spellStart"/>
            <w:r w:rsidRPr="00814170">
              <w:rPr>
                <w:sz w:val="24"/>
                <w:szCs w:val="24"/>
                <w:lang w:val="de-DE" w:eastAsia="de-DE"/>
              </w:rPr>
              <w:t>откалибрована</w:t>
            </w:r>
            <w:proofErr w:type="spellEnd"/>
            <w:r w:rsidRPr="00814170">
              <w:rPr>
                <w:sz w:val="24"/>
                <w:szCs w:val="24"/>
                <w:lang w:val="de-DE" w:eastAsia="de-DE"/>
              </w:rPr>
              <w:t xml:space="preserve"> </w:t>
            </w:r>
            <w:proofErr w:type="spellStart"/>
            <w:r w:rsidRPr="00814170">
              <w:rPr>
                <w:sz w:val="24"/>
                <w:szCs w:val="24"/>
                <w:lang w:val="de-DE" w:eastAsia="de-DE"/>
              </w:rPr>
              <w:t>для</w:t>
            </w:r>
            <w:proofErr w:type="spellEnd"/>
            <w:r w:rsidRPr="00814170">
              <w:rPr>
                <w:sz w:val="24"/>
                <w:szCs w:val="24"/>
                <w:lang w:val="de-DE" w:eastAsia="de-DE"/>
              </w:rPr>
              <w:t xml:space="preserve"> </w:t>
            </w:r>
            <w:proofErr w:type="spellStart"/>
            <w:r w:rsidRPr="00814170">
              <w:rPr>
                <w:sz w:val="24"/>
                <w:szCs w:val="24"/>
                <w:lang w:val="de-DE" w:eastAsia="de-DE"/>
              </w:rPr>
              <w:t>использования</w:t>
            </w:r>
            <w:proofErr w:type="spellEnd"/>
            <w:r w:rsidRPr="00814170">
              <w:rPr>
                <w:sz w:val="24"/>
                <w:szCs w:val="24"/>
                <w:lang w:val="de-DE" w:eastAsia="de-DE"/>
              </w:rPr>
              <w:t xml:space="preserve"> </w:t>
            </w:r>
            <w:proofErr w:type="spellStart"/>
            <w:r w:rsidRPr="00814170">
              <w:rPr>
                <w:sz w:val="24"/>
                <w:szCs w:val="24"/>
                <w:lang w:val="de-DE" w:eastAsia="de-DE"/>
              </w:rPr>
              <w:t>микроскопа</w:t>
            </w:r>
            <w:proofErr w:type="spellEnd"/>
            <w:r w:rsidRPr="00814170">
              <w:rPr>
                <w:sz w:val="24"/>
                <w:szCs w:val="24"/>
                <w:lang w:val="de-DE" w:eastAsia="de-DE"/>
              </w:rPr>
              <w:t xml:space="preserve"> </w:t>
            </w:r>
            <w:proofErr w:type="spellStart"/>
            <w:r w:rsidRPr="00814170">
              <w:rPr>
                <w:sz w:val="24"/>
                <w:szCs w:val="24"/>
                <w:lang w:val="de-DE" w:eastAsia="de-DE"/>
              </w:rPr>
              <w:t>совместно</w:t>
            </w:r>
            <w:proofErr w:type="spellEnd"/>
            <w:r w:rsidRPr="00814170">
              <w:rPr>
                <w:sz w:val="24"/>
                <w:szCs w:val="24"/>
                <w:lang w:val="de-DE" w:eastAsia="de-DE"/>
              </w:rPr>
              <w:t xml:space="preserve"> с </w:t>
            </w:r>
            <w:proofErr w:type="spellStart"/>
            <w:r w:rsidRPr="00814170">
              <w:rPr>
                <w:sz w:val="24"/>
                <w:szCs w:val="24"/>
                <w:lang w:val="de-DE" w:eastAsia="de-DE"/>
              </w:rPr>
              <w:t>навигационной</w:t>
            </w:r>
            <w:proofErr w:type="spellEnd"/>
            <w:r w:rsidRPr="00814170">
              <w:rPr>
                <w:sz w:val="24"/>
                <w:szCs w:val="24"/>
                <w:lang w:val="de-DE" w:eastAsia="de-DE"/>
              </w:rPr>
              <w:t xml:space="preserve"> </w:t>
            </w:r>
            <w:proofErr w:type="spellStart"/>
            <w:r w:rsidRPr="00814170">
              <w:rPr>
                <w:sz w:val="24"/>
                <w:szCs w:val="24"/>
                <w:lang w:val="de-DE" w:eastAsia="de-DE"/>
              </w:rPr>
              <w:t>системой</w:t>
            </w:r>
            <w:proofErr w:type="spellEnd"/>
            <w:r w:rsidRPr="00814170">
              <w:rPr>
                <w:sz w:val="24"/>
                <w:szCs w:val="24"/>
                <w:lang w:val="de-DE" w:eastAsia="de-DE"/>
              </w:rPr>
              <w:t xml:space="preserve"> </w:t>
            </w:r>
            <w:proofErr w:type="spellStart"/>
            <w:r w:rsidRPr="00814170">
              <w:rPr>
                <w:sz w:val="24"/>
                <w:szCs w:val="24"/>
                <w:lang w:val="de-DE" w:eastAsia="de-DE"/>
              </w:rPr>
              <w:t>Наличие</w:t>
            </w:r>
            <w:proofErr w:type="spellEnd"/>
            <w:r w:rsidRPr="00814170">
              <w:rPr>
                <w:sz w:val="24"/>
                <w:szCs w:val="24"/>
                <w:lang w:val="de-DE" w:eastAsia="de-DE"/>
              </w:rPr>
              <w:t xml:space="preserve"> </w:t>
            </w:r>
            <w:proofErr w:type="spellStart"/>
            <w:r w:rsidRPr="00814170">
              <w:rPr>
                <w:sz w:val="24"/>
                <w:szCs w:val="24"/>
                <w:lang w:val="de-DE" w:eastAsia="de-DE"/>
              </w:rPr>
              <w:t>специальных</w:t>
            </w:r>
            <w:proofErr w:type="spellEnd"/>
            <w:r w:rsidRPr="00814170">
              <w:rPr>
                <w:sz w:val="24"/>
                <w:szCs w:val="24"/>
                <w:lang w:val="de-DE" w:eastAsia="de-DE"/>
              </w:rPr>
              <w:t xml:space="preserve"> </w:t>
            </w:r>
            <w:proofErr w:type="spellStart"/>
            <w:r w:rsidRPr="00814170">
              <w:rPr>
                <w:sz w:val="24"/>
                <w:szCs w:val="24"/>
                <w:lang w:val="de-DE" w:eastAsia="de-DE"/>
              </w:rPr>
              <w:t>фиксирующих</w:t>
            </w:r>
            <w:proofErr w:type="spellEnd"/>
            <w:r w:rsidRPr="00814170">
              <w:rPr>
                <w:sz w:val="24"/>
                <w:szCs w:val="24"/>
                <w:lang w:val="de-DE" w:eastAsia="de-DE"/>
              </w:rPr>
              <w:t xml:space="preserve"> </w:t>
            </w:r>
            <w:proofErr w:type="spellStart"/>
            <w:r w:rsidRPr="00814170">
              <w:rPr>
                <w:sz w:val="24"/>
                <w:szCs w:val="24"/>
                <w:lang w:val="de-DE" w:eastAsia="de-DE"/>
              </w:rPr>
              <w:t>лент</w:t>
            </w:r>
            <w:proofErr w:type="spellEnd"/>
            <w:r w:rsidRPr="00814170">
              <w:rPr>
                <w:sz w:val="24"/>
                <w:szCs w:val="24"/>
                <w:lang w:val="de-DE" w:eastAsia="de-DE"/>
              </w:rPr>
              <w:t xml:space="preserve">, </w:t>
            </w:r>
            <w:proofErr w:type="spellStart"/>
            <w:r w:rsidRPr="00814170">
              <w:rPr>
                <w:sz w:val="24"/>
                <w:szCs w:val="24"/>
                <w:lang w:val="de-DE" w:eastAsia="de-DE"/>
              </w:rPr>
              <w:t>препятствующих</w:t>
            </w:r>
            <w:proofErr w:type="spellEnd"/>
            <w:r w:rsidRPr="00814170">
              <w:rPr>
                <w:sz w:val="24"/>
                <w:szCs w:val="24"/>
                <w:lang w:val="de-DE" w:eastAsia="de-DE"/>
              </w:rPr>
              <w:t xml:space="preserve"> </w:t>
            </w:r>
            <w:proofErr w:type="spellStart"/>
            <w:r w:rsidRPr="00814170">
              <w:rPr>
                <w:sz w:val="24"/>
                <w:szCs w:val="24"/>
                <w:lang w:val="de-DE" w:eastAsia="de-DE"/>
              </w:rPr>
              <w:t>смещению</w:t>
            </w:r>
            <w:proofErr w:type="spellEnd"/>
            <w:r w:rsidRPr="00814170">
              <w:rPr>
                <w:sz w:val="24"/>
                <w:szCs w:val="24"/>
                <w:lang w:val="de-DE" w:eastAsia="de-DE"/>
              </w:rPr>
              <w:t xml:space="preserve"> </w:t>
            </w:r>
            <w:proofErr w:type="spellStart"/>
            <w:r w:rsidRPr="00814170">
              <w:rPr>
                <w:sz w:val="24"/>
                <w:szCs w:val="24"/>
                <w:lang w:val="de-DE" w:eastAsia="de-DE"/>
              </w:rPr>
              <w:t>чехла</w:t>
            </w:r>
            <w:proofErr w:type="spellEnd"/>
            <w:r w:rsidRPr="00814170">
              <w:rPr>
                <w:sz w:val="24"/>
                <w:szCs w:val="24"/>
                <w:lang w:val="de-DE" w:eastAsia="de-DE"/>
              </w:rPr>
              <w:t xml:space="preserve"> с </w:t>
            </w:r>
            <w:proofErr w:type="spellStart"/>
            <w:r w:rsidRPr="00814170">
              <w:rPr>
                <w:sz w:val="24"/>
                <w:szCs w:val="24"/>
                <w:lang w:val="de-DE" w:eastAsia="de-DE"/>
              </w:rPr>
              <w:t>микроскопа</w:t>
            </w:r>
            <w:proofErr w:type="spellEnd"/>
            <w:r w:rsidRPr="00814170">
              <w:rPr>
                <w:sz w:val="24"/>
                <w:szCs w:val="24"/>
                <w:lang w:val="de-DE" w:eastAsia="de-DE"/>
              </w:rPr>
              <w:t xml:space="preserve"> с </w:t>
            </w:r>
            <w:proofErr w:type="spellStart"/>
            <w:r w:rsidRPr="00814170">
              <w:rPr>
                <w:sz w:val="24"/>
                <w:szCs w:val="24"/>
                <w:lang w:val="de-DE" w:eastAsia="de-DE"/>
              </w:rPr>
              <w:t>возможностью</w:t>
            </w:r>
            <w:proofErr w:type="spellEnd"/>
            <w:r w:rsidRPr="00814170">
              <w:rPr>
                <w:sz w:val="24"/>
                <w:szCs w:val="24"/>
                <w:lang w:val="de-DE" w:eastAsia="de-DE"/>
              </w:rPr>
              <w:t xml:space="preserve"> </w:t>
            </w:r>
            <w:proofErr w:type="spellStart"/>
            <w:r w:rsidRPr="00814170">
              <w:rPr>
                <w:sz w:val="24"/>
                <w:szCs w:val="24"/>
                <w:lang w:val="de-DE" w:eastAsia="de-DE"/>
              </w:rPr>
              <w:t>неоднократной</w:t>
            </w:r>
            <w:proofErr w:type="spellEnd"/>
            <w:r w:rsidRPr="00814170">
              <w:rPr>
                <w:sz w:val="24"/>
                <w:szCs w:val="24"/>
                <w:lang w:val="de-DE" w:eastAsia="de-DE"/>
              </w:rPr>
              <w:t xml:space="preserve"> </w:t>
            </w:r>
            <w:proofErr w:type="spellStart"/>
            <w:r w:rsidRPr="00814170">
              <w:rPr>
                <w:sz w:val="24"/>
                <w:szCs w:val="24"/>
                <w:lang w:val="de-DE" w:eastAsia="de-DE"/>
              </w:rPr>
              <w:t>корректировкой</w:t>
            </w:r>
            <w:proofErr w:type="spellEnd"/>
            <w:r w:rsidRPr="00814170">
              <w:rPr>
                <w:sz w:val="24"/>
                <w:szCs w:val="24"/>
                <w:lang w:val="de-DE" w:eastAsia="de-DE"/>
              </w:rPr>
              <w:t xml:space="preserve"> </w:t>
            </w:r>
            <w:proofErr w:type="spellStart"/>
            <w:r w:rsidRPr="00814170">
              <w:rPr>
                <w:sz w:val="24"/>
                <w:szCs w:val="24"/>
                <w:lang w:val="de-DE" w:eastAsia="de-DE"/>
              </w:rPr>
              <w:t>фиксации</w:t>
            </w:r>
            <w:proofErr w:type="spellEnd"/>
            <w:r w:rsidRPr="00814170">
              <w:rPr>
                <w:sz w:val="24"/>
                <w:szCs w:val="24"/>
                <w:lang w:val="de-DE" w:eastAsia="de-DE"/>
              </w:rPr>
              <w:t xml:space="preserve">. </w:t>
            </w:r>
            <w:r w:rsidRPr="00814170">
              <w:rPr>
                <w:sz w:val="24"/>
                <w:szCs w:val="24"/>
              </w:rPr>
              <w:t>Размер</w:t>
            </w:r>
            <w:r w:rsidRPr="00814170">
              <w:rPr>
                <w:sz w:val="24"/>
                <w:szCs w:val="24"/>
                <w:lang w:val="de-DE" w:eastAsia="de-DE"/>
              </w:rPr>
              <w:t xml:space="preserve"> </w:t>
            </w:r>
            <w:r w:rsidRPr="00814170">
              <w:rPr>
                <w:sz w:val="24"/>
                <w:szCs w:val="24"/>
                <w:lang w:eastAsia="de-DE"/>
              </w:rPr>
              <w:t xml:space="preserve"> не менее чем </w:t>
            </w:r>
            <w:r w:rsidRPr="00814170">
              <w:rPr>
                <w:sz w:val="24"/>
                <w:szCs w:val="24"/>
              </w:rPr>
              <w:t>132x391см</w:t>
            </w:r>
            <w:r w:rsidRPr="00814170">
              <w:rPr>
                <w:sz w:val="24"/>
                <w:szCs w:val="24"/>
                <w:lang w:val="de-DE" w:eastAsia="de-DE"/>
              </w:rPr>
              <w:t>.</w:t>
            </w:r>
            <w:r w:rsidRPr="00814170">
              <w:rPr>
                <w:sz w:val="24"/>
                <w:szCs w:val="24"/>
                <w:lang w:eastAsia="de-DE"/>
              </w:rPr>
              <w:t xml:space="preserve"> </w:t>
            </w:r>
            <w:r w:rsidRPr="00814170">
              <w:rPr>
                <w:sz w:val="24"/>
                <w:szCs w:val="24"/>
              </w:rPr>
              <w:t>Материал</w:t>
            </w:r>
            <w:r w:rsidRPr="00814170">
              <w:rPr>
                <w:sz w:val="24"/>
                <w:szCs w:val="24"/>
                <w:lang w:val="de-DE" w:eastAsia="de-DE"/>
              </w:rPr>
              <w:t>:</w:t>
            </w:r>
            <w:r w:rsidRPr="00814170">
              <w:rPr>
                <w:sz w:val="24"/>
                <w:szCs w:val="24"/>
                <w:lang w:eastAsia="de-DE"/>
              </w:rPr>
              <w:t xml:space="preserve"> </w:t>
            </w:r>
            <w:r w:rsidRPr="00814170">
              <w:rPr>
                <w:sz w:val="24"/>
                <w:szCs w:val="24"/>
              </w:rPr>
              <w:t>легкий прозрачный материал, не содержащий латекс, асбест и полихлорированных бифенилов толщиной не более 30мкм±5мкм</w:t>
            </w:r>
            <w:r w:rsidR="00814170">
              <w:rPr>
                <w:sz w:val="24"/>
                <w:szCs w:val="24"/>
              </w:rPr>
              <w:t>.</w:t>
            </w:r>
            <w:r w:rsidRPr="00814170">
              <w:rPr>
                <w:sz w:val="24"/>
                <w:szCs w:val="24"/>
              </w:rPr>
              <w:t xml:space="preserve">   </w:t>
            </w:r>
          </w:p>
          <w:p w:rsidR="004F3512" w:rsidRPr="00814170" w:rsidRDefault="004F3512" w:rsidP="00252E1A">
            <w:pPr>
              <w:jc w:val="both"/>
              <w:rPr>
                <w:sz w:val="24"/>
                <w:szCs w:val="24"/>
                <w:lang w:eastAsia="de-DE"/>
              </w:rPr>
            </w:pPr>
            <w:r w:rsidRPr="00814170">
              <w:rPr>
                <w:sz w:val="24"/>
                <w:szCs w:val="24"/>
              </w:rPr>
              <w:t xml:space="preserve">Стерильная оболочка </w:t>
            </w:r>
            <w:proofErr w:type="spellStart"/>
            <w:r w:rsidRPr="00814170">
              <w:rPr>
                <w:sz w:val="24"/>
                <w:szCs w:val="24"/>
                <w:lang w:val="de-DE" w:eastAsia="de-DE"/>
              </w:rPr>
              <w:t>должна</w:t>
            </w:r>
            <w:proofErr w:type="spellEnd"/>
            <w:r w:rsidRPr="00814170">
              <w:rPr>
                <w:sz w:val="24"/>
                <w:szCs w:val="24"/>
                <w:lang w:val="de-DE" w:eastAsia="de-DE"/>
              </w:rPr>
              <w:t xml:space="preserve"> </w:t>
            </w:r>
            <w:proofErr w:type="spellStart"/>
            <w:r w:rsidRPr="00814170">
              <w:rPr>
                <w:sz w:val="24"/>
                <w:szCs w:val="24"/>
                <w:lang w:val="de-DE" w:eastAsia="de-DE"/>
              </w:rPr>
              <w:t>иметь</w:t>
            </w:r>
            <w:proofErr w:type="spellEnd"/>
            <w:r w:rsidRPr="00814170">
              <w:rPr>
                <w:sz w:val="24"/>
                <w:szCs w:val="24"/>
                <w:lang w:val="de-DE" w:eastAsia="de-DE"/>
              </w:rPr>
              <w:t xml:space="preserve"> </w:t>
            </w:r>
            <w:proofErr w:type="spellStart"/>
            <w:r w:rsidRPr="00814170">
              <w:rPr>
                <w:sz w:val="24"/>
                <w:szCs w:val="24"/>
                <w:lang w:val="de-DE" w:eastAsia="de-DE"/>
              </w:rPr>
              <w:t>рукава</w:t>
            </w:r>
            <w:proofErr w:type="spellEnd"/>
            <w:r w:rsidRPr="00814170">
              <w:rPr>
                <w:sz w:val="24"/>
                <w:szCs w:val="24"/>
                <w:lang w:val="de-DE" w:eastAsia="de-DE"/>
              </w:rPr>
              <w:t xml:space="preserve"> </w:t>
            </w:r>
            <w:proofErr w:type="spellStart"/>
            <w:r w:rsidRPr="00814170">
              <w:rPr>
                <w:sz w:val="24"/>
                <w:szCs w:val="24"/>
                <w:lang w:val="de-DE" w:eastAsia="de-DE"/>
              </w:rPr>
              <w:t>для</w:t>
            </w:r>
            <w:proofErr w:type="spellEnd"/>
            <w:r w:rsidRPr="00814170">
              <w:rPr>
                <w:sz w:val="24"/>
                <w:szCs w:val="24"/>
                <w:lang w:val="de-DE" w:eastAsia="de-DE"/>
              </w:rPr>
              <w:t xml:space="preserve"> </w:t>
            </w:r>
            <w:proofErr w:type="spellStart"/>
            <w:r w:rsidRPr="00814170">
              <w:rPr>
                <w:sz w:val="24"/>
                <w:szCs w:val="24"/>
                <w:lang w:val="de-DE" w:eastAsia="de-DE"/>
              </w:rPr>
              <w:t>ассистентских</w:t>
            </w:r>
            <w:proofErr w:type="spellEnd"/>
            <w:r w:rsidRPr="00814170">
              <w:rPr>
                <w:sz w:val="24"/>
                <w:szCs w:val="24"/>
                <w:lang w:val="de-DE" w:eastAsia="de-DE"/>
              </w:rPr>
              <w:t xml:space="preserve"> </w:t>
            </w:r>
            <w:proofErr w:type="spellStart"/>
            <w:r w:rsidRPr="00814170">
              <w:rPr>
                <w:sz w:val="24"/>
                <w:szCs w:val="24"/>
                <w:lang w:val="de-DE" w:eastAsia="de-DE"/>
              </w:rPr>
              <w:t>тубусов</w:t>
            </w:r>
            <w:proofErr w:type="spellEnd"/>
            <w:r w:rsidRPr="00814170">
              <w:rPr>
                <w:sz w:val="24"/>
                <w:szCs w:val="24"/>
                <w:lang w:val="de-DE" w:eastAsia="de-DE"/>
              </w:rPr>
              <w:t xml:space="preserve">. </w:t>
            </w:r>
            <w:proofErr w:type="spellStart"/>
            <w:r w:rsidRPr="00814170">
              <w:rPr>
                <w:sz w:val="24"/>
                <w:szCs w:val="24"/>
                <w:lang w:val="de-DE" w:eastAsia="de-DE"/>
              </w:rPr>
              <w:t>Рукава</w:t>
            </w:r>
            <w:proofErr w:type="spellEnd"/>
            <w:r w:rsidRPr="00814170">
              <w:rPr>
                <w:sz w:val="24"/>
                <w:szCs w:val="24"/>
                <w:lang w:val="de-DE" w:eastAsia="de-DE"/>
              </w:rPr>
              <w:t xml:space="preserve"> </w:t>
            </w:r>
            <w:proofErr w:type="spellStart"/>
            <w:r w:rsidRPr="00814170">
              <w:rPr>
                <w:sz w:val="24"/>
                <w:szCs w:val="24"/>
                <w:lang w:val="de-DE" w:eastAsia="de-DE"/>
              </w:rPr>
              <w:t>должны</w:t>
            </w:r>
            <w:proofErr w:type="spellEnd"/>
            <w:r w:rsidRPr="00814170">
              <w:rPr>
                <w:sz w:val="24"/>
                <w:szCs w:val="24"/>
                <w:lang w:val="de-DE" w:eastAsia="de-DE"/>
              </w:rPr>
              <w:t xml:space="preserve"> </w:t>
            </w:r>
            <w:proofErr w:type="spellStart"/>
            <w:r w:rsidRPr="00814170">
              <w:rPr>
                <w:sz w:val="24"/>
                <w:szCs w:val="24"/>
                <w:lang w:val="de-DE" w:eastAsia="de-DE"/>
              </w:rPr>
              <w:t>быть</w:t>
            </w:r>
            <w:proofErr w:type="spellEnd"/>
            <w:r w:rsidRPr="00814170">
              <w:rPr>
                <w:sz w:val="24"/>
                <w:szCs w:val="24"/>
                <w:lang w:val="de-DE" w:eastAsia="de-DE"/>
              </w:rPr>
              <w:t xml:space="preserve"> </w:t>
            </w:r>
            <w:proofErr w:type="spellStart"/>
            <w:r w:rsidRPr="00814170">
              <w:rPr>
                <w:sz w:val="24"/>
                <w:szCs w:val="24"/>
                <w:lang w:val="de-DE" w:eastAsia="de-DE"/>
              </w:rPr>
              <w:t>снабжены</w:t>
            </w:r>
            <w:proofErr w:type="spellEnd"/>
            <w:r w:rsidRPr="00814170">
              <w:rPr>
                <w:sz w:val="24"/>
                <w:szCs w:val="24"/>
                <w:lang w:val="de-DE" w:eastAsia="de-DE"/>
              </w:rPr>
              <w:t xml:space="preserve"> </w:t>
            </w:r>
            <w:proofErr w:type="spellStart"/>
            <w:r w:rsidRPr="00814170">
              <w:rPr>
                <w:sz w:val="24"/>
                <w:szCs w:val="24"/>
                <w:lang w:val="de-DE" w:eastAsia="de-DE"/>
              </w:rPr>
              <w:t>выступами</w:t>
            </w:r>
            <w:proofErr w:type="spellEnd"/>
            <w:r w:rsidRPr="00814170">
              <w:rPr>
                <w:sz w:val="24"/>
                <w:szCs w:val="24"/>
                <w:lang w:val="de-DE" w:eastAsia="de-DE"/>
              </w:rPr>
              <w:t xml:space="preserve"> </w:t>
            </w:r>
            <w:proofErr w:type="spellStart"/>
            <w:r w:rsidRPr="00814170">
              <w:rPr>
                <w:sz w:val="24"/>
                <w:szCs w:val="24"/>
                <w:lang w:val="de-DE" w:eastAsia="de-DE"/>
              </w:rPr>
              <w:t>для</w:t>
            </w:r>
            <w:proofErr w:type="spellEnd"/>
            <w:r w:rsidRPr="00814170">
              <w:rPr>
                <w:sz w:val="24"/>
                <w:szCs w:val="24"/>
                <w:lang w:val="de-DE" w:eastAsia="de-DE"/>
              </w:rPr>
              <w:t xml:space="preserve"> </w:t>
            </w:r>
            <w:proofErr w:type="spellStart"/>
            <w:r w:rsidRPr="00814170">
              <w:rPr>
                <w:sz w:val="24"/>
                <w:szCs w:val="24"/>
                <w:lang w:val="de-DE" w:eastAsia="de-DE"/>
              </w:rPr>
              <w:t>окуляров</w:t>
            </w:r>
            <w:proofErr w:type="spellEnd"/>
            <w:r w:rsidRPr="00814170">
              <w:rPr>
                <w:sz w:val="24"/>
                <w:szCs w:val="24"/>
                <w:lang w:val="de-DE" w:eastAsia="de-DE"/>
              </w:rPr>
              <w:t xml:space="preserve"> </w:t>
            </w:r>
            <w:proofErr w:type="spellStart"/>
            <w:r w:rsidRPr="00814170">
              <w:rPr>
                <w:sz w:val="24"/>
                <w:szCs w:val="24"/>
                <w:lang w:val="de-DE" w:eastAsia="de-DE"/>
              </w:rPr>
              <w:t>высотой</w:t>
            </w:r>
            <w:proofErr w:type="spellEnd"/>
            <w:r w:rsidRPr="00814170">
              <w:rPr>
                <w:sz w:val="24"/>
                <w:szCs w:val="24"/>
                <w:lang w:val="de-DE" w:eastAsia="de-DE"/>
              </w:rPr>
              <w:t xml:space="preserve"> </w:t>
            </w:r>
            <w:proofErr w:type="spellStart"/>
            <w:r w:rsidRPr="00814170">
              <w:rPr>
                <w:sz w:val="24"/>
                <w:szCs w:val="24"/>
                <w:lang w:val="de-DE" w:eastAsia="de-DE"/>
              </w:rPr>
              <w:t>не</w:t>
            </w:r>
            <w:proofErr w:type="spellEnd"/>
            <w:r w:rsidRPr="00814170">
              <w:rPr>
                <w:sz w:val="24"/>
                <w:szCs w:val="24"/>
                <w:lang w:val="de-DE" w:eastAsia="de-DE"/>
              </w:rPr>
              <w:t xml:space="preserve"> </w:t>
            </w:r>
            <w:proofErr w:type="spellStart"/>
            <w:r w:rsidRPr="00814170">
              <w:rPr>
                <w:sz w:val="24"/>
                <w:szCs w:val="24"/>
                <w:lang w:val="de-DE" w:eastAsia="de-DE"/>
              </w:rPr>
              <w:t>менее</w:t>
            </w:r>
            <w:proofErr w:type="spellEnd"/>
            <w:r w:rsidRPr="00814170">
              <w:rPr>
                <w:sz w:val="24"/>
                <w:szCs w:val="24"/>
                <w:lang w:val="de-DE" w:eastAsia="de-DE"/>
              </w:rPr>
              <w:t xml:space="preserve"> 10см и </w:t>
            </w:r>
            <w:proofErr w:type="spellStart"/>
            <w:r w:rsidRPr="00814170">
              <w:rPr>
                <w:sz w:val="24"/>
                <w:szCs w:val="24"/>
                <w:lang w:val="de-DE" w:eastAsia="de-DE"/>
              </w:rPr>
              <w:t>снабжены</w:t>
            </w:r>
            <w:proofErr w:type="spellEnd"/>
            <w:r w:rsidRPr="00814170">
              <w:rPr>
                <w:sz w:val="24"/>
                <w:szCs w:val="24"/>
                <w:lang w:val="de-DE" w:eastAsia="de-DE"/>
              </w:rPr>
              <w:t xml:space="preserve"> </w:t>
            </w:r>
            <w:proofErr w:type="spellStart"/>
            <w:r w:rsidRPr="00814170">
              <w:rPr>
                <w:sz w:val="24"/>
                <w:szCs w:val="24"/>
                <w:lang w:val="de-DE" w:eastAsia="de-DE"/>
              </w:rPr>
              <w:t>перфорацией</w:t>
            </w:r>
            <w:proofErr w:type="spellEnd"/>
            <w:r w:rsidRPr="00814170">
              <w:rPr>
                <w:sz w:val="24"/>
                <w:szCs w:val="24"/>
                <w:lang w:val="de-DE" w:eastAsia="de-DE"/>
              </w:rPr>
              <w:t xml:space="preserve"> </w:t>
            </w:r>
            <w:proofErr w:type="spellStart"/>
            <w:r w:rsidRPr="00814170">
              <w:rPr>
                <w:sz w:val="24"/>
                <w:szCs w:val="24"/>
                <w:lang w:val="de-DE" w:eastAsia="de-DE"/>
              </w:rPr>
              <w:t>на</w:t>
            </w:r>
            <w:proofErr w:type="spellEnd"/>
            <w:r w:rsidRPr="00814170">
              <w:rPr>
                <w:sz w:val="24"/>
                <w:szCs w:val="24"/>
                <w:lang w:val="de-DE" w:eastAsia="de-DE"/>
              </w:rPr>
              <w:t xml:space="preserve"> </w:t>
            </w:r>
            <w:proofErr w:type="spellStart"/>
            <w:r w:rsidRPr="00814170">
              <w:rPr>
                <w:sz w:val="24"/>
                <w:szCs w:val="24"/>
                <w:lang w:val="de-DE" w:eastAsia="de-DE"/>
              </w:rPr>
              <w:t>расстоянии</w:t>
            </w:r>
            <w:proofErr w:type="spellEnd"/>
            <w:r w:rsidRPr="00814170">
              <w:rPr>
                <w:sz w:val="24"/>
                <w:szCs w:val="24"/>
                <w:lang w:val="de-DE" w:eastAsia="de-DE"/>
              </w:rPr>
              <w:t xml:space="preserve"> </w:t>
            </w:r>
            <w:proofErr w:type="spellStart"/>
            <w:r w:rsidRPr="00814170">
              <w:rPr>
                <w:sz w:val="24"/>
                <w:szCs w:val="24"/>
                <w:lang w:val="de-DE" w:eastAsia="de-DE"/>
              </w:rPr>
              <w:t>не</w:t>
            </w:r>
            <w:proofErr w:type="spellEnd"/>
            <w:r w:rsidRPr="00814170">
              <w:rPr>
                <w:sz w:val="24"/>
                <w:szCs w:val="24"/>
                <w:lang w:val="de-DE" w:eastAsia="de-DE"/>
              </w:rPr>
              <w:t xml:space="preserve"> </w:t>
            </w:r>
            <w:proofErr w:type="spellStart"/>
            <w:r w:rsidRPr="00814170">
              <w:rPr>
                <w:sz w:val="24"/>
                <w:szCs w:val="24"/>
                <w:lang w:val="de-DE" w:eastAsia="de-DE"/>
              </w:rPr>
              <w:t>менее</w:t>
            </w:r>
            <w:proofErr w:type="spellEnd"/>
            <w:r w:rsidRPr="00814170">
              <w:rPr>
                <w:sz w:val="24"/>
                <w:szCs w:val="24"/>
                <w:lang w:val="de-DE" w:eastAsia="de-DE"/>
              </w:rPr>
              <w:t xml:space="preserve"> 4,5-5см </w:t>
            </w:r>
            <w:proofErr w:type="spellStart"/>
            <w:r w:rsidRPr="00814170">
              <w:rPr>
                <w:sz w:val="24"/>
                <w:szCs w:val="24"/>
                <w:lang w:val="de-DE" w:eastAsia="de-DE"/>
              </w:rPr>
              <w:t>от</w:t>
            </w:r>
            <w:proofErr w:type="spellEnd"/>
            <w:r w:rsidRPr="00814170">
              <w:rPr>
                <w:sz w:val="24"/>
                <w:szCs w:val="24"/>
                <w:lang w:val="de-DE" w:eastAsia="de-DE"/>
              </w:rPr>
              <w:t xml:space="preserve"> </w:t>
            </w:r>
            <w:proofErr w:type="spellStart"/>
            <w:r w:rsidRPr="00814170">
              <w:rPr>
                <w:sz w:val="24"/>
                <w:szCs w:val="24"/>
                <w:lang w:val="de-DE" w:eastAsia="de-DE"/>
              </w:rPr>
              <w:t>края</w:t>
            </w:r>
            <w:proofErr w:type="spellEnd"/>
            <w:r w:rsidRPr="00814170">
              <w:rPr>
                <w:sz w:val="24"/>
                <w:szCs w:val="24"/>
                <w:lang w:val="de-DE" w:eastAsia="de-DE"/>
              </w:rPr>
              <w:t xml:space="preserve">. </w:t>
            </w:r>
            <w:proofErr w:type="spellStart"/>
            <w:r w:rsidRPr="00814170">
              <w:rPr>
                <w:sz w:val="24"/>
                <w:szCs w:val="24"/>
                <w:lang w:val="de-DE" w:eastAsia="de-DE"/>
              </w:rPr>
              <w:t>Расстояние</w:t>
            </w:r>
            <w:proofErr w:type="spellEnd"/>
            <w:r w:rsidRPr="00814170">
              <w:rPr>
                <w:sz w:val="24"/>
                <w:szCs w:val="24"/>
                <w:lang w:val="de-DE" w:eastAsia="de-DE"/>
              </w:rPr>
              <w:t xml:space="preserve"> </w:t>
            </w:r>
            <w:proofErr w:type="spellStart"/>
            <w:r w:rsidRPr="00814170">
              <w:rPr>
                <w:sz w:val="24"/>
                <w:szCs w:val="24"/>
                <w:lang w:val="de-DE" w:eastAsia="de-DE"/>
              </w:rPr>
              <w:t>фиксирующей</w:t>
            </w:r>
            <w:proofErr w:type="spellEnd"/>
            <w:r w:rsidRPr="00814170">
              <w:rPr>
                <w:sz w:val="24"/>
                <w:szCs w:val="24"/>
                <w:lang w:val="de-DE" w:eastAsia="de-DE"/>
              </w:rPr>
              <w:t xml:space="preserve"> </w:t>
            </w:r>
            <w:proofErr w:type="spellStart"/>
            <w:r w:rsidRPr="00814170">
              <w:rPr>
                <w:sz w:val="24"/>
                <w:szCs w:val="24"/>
                <w:lang w:val="de-DE" w:eastAsia="de-DE"/>
              </w:rPr>
              <w:t>ленты</w:t>
            </w:r>
            <w:proofErr w:type="spellEnd"/>
            <w:r w:rsidRPr="00814170">
              <w:rPr>
                <w:sz w:val="24"/>
                <w:szCs w:val="24"/>
                <w:lang w:val="de-DE" w:eastAsia="de-DE"/>
              </w:rPr>
              <w:t xml:space="preserve"> </w:t>
            </w:r>
            <w:proofErr w:type="spellStart"/>
            <w:r w:rsidRPr="00814170">
              <w:rPr>
                <w:sz w:val="24"/>
                <w:szCs w:val="24"/>
                <w:lang w:val="de-DE" w:eastAsia="de-DE"/>
              </w:rPr>
              <w:t>от</w:t>
            </w:r>
            <w:proofErr w:type="spellEnd"/>
            <w:r w:rsidRPr="00814170">
              <w:rPr>
                <w:sz w:val="24"/>
                <w:szCs w:val="24"/>
                <w:lang w:val="de-DE" w:eastAsia="de-DE"/>
              </w:rPr>
              <w:t xml:space="preserve"> </w:t>
            </w:r>
            <w:proofErr w:type="spellStart"/>
            <w:r w:rsidRPr="00814170">
              <w:rPr>
                <w:sz w:val="24"/>
                <w:szCs w:val="24"/>
                <w:lang w:val="de-DE" w:eastAsia="de-DE"/>
              </w:rPr>
              <w:t>перфорации</w:t>
            </w:r>
            <w:proofErr w:type="spellEnd"/>
            <w:r w:rsidRPr="00814170">
              <w:rPr>
                <w:sz w:val="24"/>
                <w:szCs w:val="24"/>
                <w:lang w:val="de-DE" w:eastAsia="de-DE"/>
              </w:rPr>
              <w:t xml:space="preserve"> </w:t>
            </w:r>
            <w:proofErr w:type="spellStart"/>
            <w:r w:rsidRPr="00814170">
              <w:rPr>
                <w:sz w:val="24"/>
                <w:szCs w:val="24"/>
                <w:lang w:val="de-DE" w:eastAsia="de-DE"/>
              </w:rPr>
              <w:t>не</w:t>
            </w:r>
            <w:proofErr w:type="spellEnd"/>
            <w:r w:rsidRPr="00814170">
              <w:rPr>
                <w:sz w:val="24"/>
                <w:szCs w:val="24"/>
                <w:lang w:val="de-DE" w:eastAsia="de-DE"/>
              </w:rPr>
              <w:t xml:space="preserve"> </w:t>
            </w:r>
            <w:proofErr w:type="spellStart"/>
            <w:r w:rsidRPr="00814170">
              <w:rPr>
                <w:sz w:val="24"/>
                <w:szCs w:val="24"/>
                <w:lang w:val="de-DE" w:eastAsia="de-DE"/>
              </w:rPr>
              <w:t>менее</w:t>
            </w:r>
            <w:proofErr w:type="spellEnd"/>
            <w:r w:rsidRPr="00814170">
              <w:rPr>
                <w:sz w:val="24"/>
                <w:szCs w:val="24"/>
                <w:lang w:val="de-DE" w:eastAsia="de-DE"/>
              </w:rPr>
              <w:t xml:space="preserve"> 4 </w:t>
            </w:r>
            <w:proofErr w:type="spellStart"/>
            <w:r w:rsidRPr="00814170">
              <w:rPr>
                <w:sz w:val="24"/>
                <w:szCs w:val="24"/>
                <w:lang w:val="de-DE" w:eastAsia="de-DE"/>
              </w:rPr>
              <w:t>см</w:t>
            </w:r>
            <w:proofErr w:type="spellEnd"/>
            <w:r w:rsidRPr="00814170">
              <w:rPr>
                <w:sz w:val="24"/>
                <w:szCs w:val="24"/>
                <w:lang w:val="de-DE" w:eastAsia="de-DE"/>
              </w:rPr>
              <w:t xml:space="preserve">. . </w:t>
            </w:r>
            <w:proofErr w:type="spellStart"/>
            <w:r w:rsidRPr="00814170">
              <w:rPr>
                <w:sz w:val="24"/>
                <w:szCs w:val="24"/>
                <w:lang w:val="de-DE" w:eastAsia="de-DE"/>
              </w:rPr>
              <w:t>Длина</w:t>
            </w:r>
            <w:proofErr w:type="spellEnd"/>
            <w:r w:rsidRPr="00814170">
              <w:rPr>
                <w:sz w:val="24"/>
                <w:szCs w:val="24"/>
                <w:lang w:val="de-DE" w:eastAsia="de-DE"/>
              </w:rPr>
              <w:t xml:space="preserve"> </w:t>
            </w:r>
            <w:proofErr w:type="spellStart"/>
            <w:r w:rsidRPr="00814170">
              <w:rPr>
                <w:sz w:val="24"/>
                <w:szCs w:val="24"/>
                <w:lang w:val="de-DE" w:eastAsia="de-DE"/>
              </w:rPr>
              <w:t>фиксирующих</w:t>
            </w:r>
            <w:proofErr w:type="spellEnd"/>
            <w:r w:rsidRPr="00814170">
              <w:rPr>
                <w:sz w:val="24"/>
                <w:szCs w:val="24"/>
                <w:lang w:val="de-DE" w:eastAsia="de-DE"/>
              </w:rPr>
              <w:t xml:space="preserve"> </w:t>
            </w:r>
            <w:proofErr w:type="spellStart"/>
            <w:r w:rsidRPr="00814170">
              <w:rPr>
                <w:sz w:val="24"/>
                <w:szCs w:val="24"/>
                <w:lang w:val="de-DE" w:eastAsia="de-DE"/>
              </w:rPr>
              <w:t>лент</w:t>
            </w:r>
            <w:proofErr w:type="spellEnd"/>
            <w:r w:rsidRPr="00814170">
              <w:rPr>
                <w:sz w:val="24"/>
                <w:szCs w:val="24"/>
                <w:lang w:val="de-DE" w:eastAsia="de-DE"/>
              </w:rPr>
              <w:t xml:space="preserve"> </w:t>
            </w:r>
            <w:proofErr w:type="spellStart"/>
            <w:r w:rsidRPr="00814170">
              <w:rPr>
                <w:sz w:val="24"/>
                <w:szCs w:val="24"/>
                <w:lang w:val="de-DE" w:eastAsia="de-DE"/>
              </w:rPr>
              <w:t>не</w:t>
            </w:r>
            <w:proofErr w:type="spellEnd"/>
            <w:r w:rsidRPr="00814170">
              <w:rPr>
                <w:sz w:val="24"/>
                <w:szCs w:val="24"/>
                <w:lang w:val="de-DE" w:eastAsia="de-DE"/>
              </w:rPr>
              <w:t xml:space="preserve"> </w:t>
            </w:r>
            <w:proofErr w:type="spellStart"/>
            <w:r w:rsidRPr="00814170">
              <w:rPr>
                <w:sz w:val="24"/>
                <w:szCs w:val="24"/>
                <w:lang w:val="de-DE" w:eastAsia="de-DE"/>
              </w:rPr>
              <w:t>более</w:t>
            </w:r>
            <w:proofErr w:type="spellEnd"/>
            <w:r w:rsidRPr="00814170">
              <w:rPr>
                <w:sz w:val="24"/>
                <w:szCs w:val="24"/>
                <w:lang w:val="de-DE" w:eastAsia="de-DE"/>
              </w:rPr>
              <w:t xml:space="preserve"> 71 см±0,2см. </w:t>
            </w:r>
            <w:proofErr w:type="spellStart"/>
            <w:r w:rsidRPr="00814170">
              <w:rPr>
                <w:sz w:val="24"/>
                <w:szCs w:val="24"/>
                <w:lang w:val="de-DE" w:eastAsia="de-DE"/>
              </w:rPr>
              <w:t>Стерильная</w:t>
            </w:r>
            <w:proofErr w:type="spellEnd"/>
            <w:r w:rsidRPr="00814170">
              <w:rPr>
                <w:sz w:val="24"/>
                <w:szCs w:val="24"/>
                <w:lang w:val="de-DE" w:eastAsia="de-DE"/>
              </w:rPr>
              <w:t xml:space="preserve"> </w:t>
            </w:r>
            <w:proofErr w:type="spellStart"/>
            <w:r w:rsidRPr="00814170">
              <w:rPr>
                <w:sz w:val="24"/>
                <w:szCs w:val="24"/>
                <w:lang w:val="de-DE" w:eastAsia="de-DE"/>
              </w:rPr>
              <w:t>оболочка</w:t>
            </w:r>
            <w:proofErr w:type="spellEnd"/>
            <w:r w:rsidRPr="00814170">
              <w:rPr>
                <w:sz w:val="24"/>
                <w:szCs w:val="24"/>
                <w:lang w:eastAsia="de-DE"/>
              </w:rPr>
              <w:t xml:space="preserve"> должна быть </w:t>
            </w:r>
            <w:proofErr w:type="spellStart"/>
            <w:r w:rsidRPr="00814170">
              <w:rPr>
                <w:sz w:val="24"/>
                <w:szCs w:val="24"/>
                <w:lang w:val="de-DE" w:eastAsia="de-DE"/>
              </w:rPr>
              <w:t>адаптирована</w:t>
            </w:r>
            <w:proofErr w:type="spellEnd"/>
            <w:r w:rsidRPr="00814170">
              <w:rPr>
                <w:sz w:val="24"/>
                <w:szCs w:val="24"/>
                <w:lang w:eastAsia="de-DE"/>
              </w:rPr>
              <w:t xml:space="preserve"> </w:t>
            </w:r>
            <w:proofErr w:type="spellStart"/>
            <w:r w:rsidRPr="00814170">
              <w:rPr>
                <w:sz w:val="24"/>
                <w:szCs w:val="24"/>
                <w:lang w:val="de-DE" w:eastAsia="de-DE"/>
              </w:rPr>
              <w:t>для</w:t>
            </w:r>
            <w:proofErr w:type="spellEnd"/>
            <w:r w:rsidRPr="00814170">
              <w:rPr>
                <w:sz w:val="24"/>
                <w:szCs w:val="24"/>
                <w:lang w:val="de-DE" w:eastAsia="de-DE"/>
              </w:rPr>
              <w:t xml:space="preserve"> </w:t>
            </w:r>
            <w:proofErr w:type="spellStart"/>
            <w:r w:rsidRPr="00814170">
              <w:rPr>
                <w:sz w:val="24"/>
                <w:szCs w:val="24"/>
                <w:lang w:val="de-DE" w:eastAsia="de-DE"/>
              </w:rPr>
              <w:t>использования</w:t>
            </w:r>
            <w:proofErr w:type="spellEnd"/>
            <w:r w:rsidRPr="00814170">
              <w:rPr>
                <w:sz w:val="24"/>
                <w:szCs w:val="24"/>
                <w:lang w:val="de-DE" w:eastAsia="de-DE"/>
              </w:rPr>
              <w:t xml:space="preserve"> с </w:t>
            </w:r>
            <w:proofErr w:type="spellStart"/>
            <w:r w:rsidRPr="00814170">
              <w:rPr>
                <w:sz w:val="24"/>
                <w:szCs w:val="24"/>
                <w:lang w:val="de-DE" w:eastAsia="de-DE"/>
              </w:rPr>
              <w:t>микроскопом</w:t>
            </w:r>
            <w:proofErr w:type="spellEnd"/>
            <w:r w:rsidRPr="00814170">
              <w:rPr>
                <w:sz w:val="24"/>
                <w:szCs w:val="24"/>
                <w:lang w:val="de-DE" w:eastAsia="de-DE"/>
              </w:rPr>
              <w:t xml:space="preserve">  OPMI «OPMI </w:t>
            </w:r>
            <w:proofErr w:type="spellStart"/>
            <w:r w:rsidRPr="00814170">
              <w:rPr>
                <w:sz w:val="24"/>
                <w:szCs w:val="24"/>
                <w:lang w:val="de-DE" w:eastAsia="de-DE"/>
              </w:rPr>
              <w:t>Pentero</w:t>
            </w:r>
            <w:proofErr w:type="spellEnd"/>
            <w:r w:rsidRPr="00814170">
              <w:rPr>
                <w:sz w:val="24"/>
                <w:szCs w:val="24"/>
                <w:lang w:eastAsia="de-DE"/>
              </w:rPr>
              <w:t>/</w:t>
            </w:r>
            <w:r w:rsidRPr="00814170">
              <w:rPr>
                <w:sz w:val="24"/>
                <w:szCs w:val="24"/>
                <w:lang w:val="de-DE" w:eastAsia="de-DE"/>
              </w:rPr>
              <w:t xml:space="preserve"> OPMI </w:t>
            </w:r>
            <w:proofErr w:type="spellStart"/>
            <w:r w:rsidRPr="00814170">
              <w:rPr>
                <w:sz w:val="24"/>
                <w:szCs w:val="24"/>
                <w:lang w:val="de-DE" w:eastAsia="de-DE"/>
              </w:rPr>
              <w:t>Pentero</w:t>
            </w:r>
            <w:proofErr w:type="spellEnd"/>
            <w:r w:rsidRPr="00814170">
              <w:rPr>
                <w:sz w:val="24"/>
                <w:szCs w:val="24"/>
                <w:lang w:val="de-DE" w:eastAsia="de-DE"/>
              </w:rPr>
              <w:t xml:space="preserve"> 900» </w:t>
            </w:r>
            <w:proofErr w:type="spellStart"/>
            <w:r w:rsidR="00814170">
              <w:rPr>
                <w:sz w:val="24"/>
                <w:szCs w:val="24"/>
                <w:lang w:val="de-DE" w:eastAsia="de-DE"/>
              </w:rPr>
              <w:t>имеющегося</w:t>
            </w:r>
            <w:proofErr w:type="spellEnd"/>
            <w:r w:rsidR="00814170">
              <w:rPr>
                <w:sz w:val="24"/>
                <w:szCs w:val="24"/>
                <w:lang w:val="de-DE" w:eastAsia="de-DE"/>
              </w:rPr>
              <w:t xml:space="preserve"> у </w:t>
            </w:r>
            <w:proofErr w:type="spellStart"/>
            <w:r w:rsidR="00814170">
              <w:rPr>
                <w:sz w:val="24"/>
                <w:szCs w:val="24"/>
                <w:lang w:val="de-DE" w:eastAsia="de-DE"/>
              </w:rPr>
              <w:t>заказчика</w:t>
            </w:r>
            <w:proofErr w:type="spellEnd"/>
            <w:r w:rsidR="00814170">
              <w:rPr>
                <w:sz w:val="24"/>
                <w:szCs w:val="24"/>
                <w:lang w:eastAsia="de-DE"/>
              </w:rPr>
              <w:t>.</w:t>
            </w:r>
            <w:r w:rsidRPr="00814170">
              <w:rPr>
                <w:sz w:val="24"/>
                <w:szCs w:val="24"/>
                <w:lang w:val="de-DE" w:eastAsia="de-DE"/>
              </w:rPr>
              <w:t xml:space="preserve"> </w:t>
            </w:r>
            <w:proofErr w:type="spellStart"/>
            <w:r w:rsidRPr="00814170">
              <w:rPr>
                <w:sz w:val="24"/>
                <w:szCs w:val="24"/>
                <w:lang w:val="de-DE" w:eastAsia="de-DE"/>
              </w:rPr>
              <w:t>Используются</w:t>
            </w:r>
            <w:proofErr w:type="spellEnd"/>
            <w:r w:rsidRPr="00814170">
              <w:rPr>
                <w:sz w:val="24"/>
                <w:szCs w:val="24"/>
                <w:lang w:val="de-DE" w:eastAsia="de-DE"/>
              </w:rPr>
              <w:t xml:space="preserve"> </w:t>
            </w:r>
            <w:proofErr w:type="spellStart"/>
            <w:r w:rsidRPr="00814170">
              <w:rPr>
                <w:sz w:val="24"/>
                <w:szCs w:val="24"/>
                <w:lang w:val="de-DE" w:eastAsia="de-DE"/>
              </w:rPr>
              <w:t>при</w:t>
            </w:r>
            <w:proofErr w:type="spellEnd"/>
            <w:r w:rsidRPr="00814170">
              <w:rPr>
                <w:sz w:val="24"/>
                <w:szCs w:val="24"/>
                <w:lang w:val="de-DE" w:eastAsia="de-DE"/>
              </w:rPr>
              <w:t xml:space="preserve"> </w:t>
            </w:r>
            <w:proofErr w:type="spellStart"/>
            <w:r w:rsidRPr="00814170">
              <w:rPr>
                <w:sz w:val="24"/>
                <w:szCs w:val="24"/>
                <w:lang w:val="de-DE" w:eastAsia="de-DE"/>
              </w:rPr>
              <w:t>функции</w:t>
            </w:r>
            <w:proofErr w:type="spellEnd"/>
            <w:r w:rsidRPr="00814170">
              <w:rPr>
                <w:sz w:val="24"/>
                <w:szCs w:val="24"/>
                <w:lang w:val="de-DE" w:eastAsia="de-DE"/>
              </w:rPr>
              <w:t xml:space="preserve"> </w:t>
            </w:r>
            <w:proofErr w:type="spellStart"/>
            <w:r w:rsidRPr="00814170">
              <w:rPr>
                <w:sz w:val="24"/>
                <w:szCs w:val="24"/>
                <w:lang w:val="de-DE" w:eastAsia="de-DE"/>
              </w:rPr>
              <w:t>автозачехлени</w:t>
            </w:r>
            <w:proofErr w:type="spellEnd"/>
            <w:r w:rsidRPr="00814170">
              <w:rPr>
                <w:sz w:val="24"/>
                <w:szCs w:val="24"/>
                <w:lang w:val="de-DE" w:eastAsia="de-DE"/>
              </w:rPr>
              <w:t xml:space="preserve">, </w:t>
            </w:r>
            <w:proofErr w:type="spellStart"/>
            <w:r w:rsidRPr="00814170">
              <w:rPr>
                <w:sz w:val="24"/>
                <w:szCs w:val="24"/>
                <w:lang w:val="de-DE" w:eastAsia="de-DE"/>
              </w:rPr>
              <w:t>должна</w:t>
            </w:r>
            <w:proofErr w:type="spellEnd"/>
            <w:r w:rsidRPr="00814170">
              <w:rPr>
                <w:sz w:val="24"/>
                <w:szCs w:val="24"/>
                <w:lang w:val="de-DE" w:eastAsia="de-DE"/>
              </w:rPr>
              <w:t xml:space="preserve"> </w:t>
            </w:r>
            <w:proofErr w:type="spellStart"/>
            <w:r w:rsidRPr="00814170">
              <w:rPr>
                <w:sz w:val="24"/>
                <w:szCs w:val="24"/>
                <w:lang w:val="de-DE" w:eastAsia="de-DE"/>
              </w:rPr>
              <w:t>быть</w:t>
            </w:r>
            <w:proofErr w:type="spellEnd"/>
            <w:r w:rsidRPr="00814170">
              <w:rPr>
                <w:sz w:val="24"/>
                <w:szCs w:val="24"/>
                <w:lang w:val="de-DE" w:eastAsia="de-DE"/>
              </w:rPr>
              <w:t xml:space="preserve"> </w:t>
            </w:r>
            <w:proofErr w:type="spellStart"/>
            <w:r w:rsidRPr="00814170">
              <w:rPr>
                <w:sz w:val="24"/>
                <w:szCs w:val="24"/>
                <w:lang w:val="de-DE" w:eastAsia="de-DE"/>
              </w:rPr>
              <w:t>совместима</w:t>
            </w:r>
            <w:proofErr w:type="spellEnd"/>
            <w:r w:rsidRPr="00814170">
              <w:rPr>
                <w:sz w:val="24"/>
                <w:szCs w:val="24"/>
                <w:lang w:val="de-DE" w:eastAsia="de-DE"/>
              </w:rPr>
              <w:t xml:space="preserve"> с </w:t>
            </w:r>
            <w:proofErr w:type="spellStart"/>
            <w:r w:rsidRPr="00814170">
              <w:rPr>
                <w:sz w:val="24"/>
                <w:szCs w:val="24"/>
                <w:lang w:val="de-DE" w:eastAsia="de-DE"/>
              </w:rPr>
              <w:t>вакумной</w:t>
            </w:r>
            <w:proofErr w:type="spellEnd"/>
            <w:r w:rsidRPr="00814170">
              <w:rPr>
                <w:sz w:val="24"/>
                <w:szCs w:val="24"/>
                <w:lang w:val="de-DE" w:eastAsia="de-DE"/>
              </w:rPr>
              <w:t xml:space="preserve"> </w:t>
            </w:r>
            <w:proofErr w:type="spellStart"/>
            <w:r w:rsidRPr="00814170">
              <w:rPr>
                <w:sz w:val="24"/>
                <w:szCs w:val="24"/>
                <w:lang w:val="de-DE" w:eastAsia="de-DE"/>
              </w:rPr>
              <w:t>системой</w:t>
            </w:r>
            <w:proofErr w:type="spellEnd"/>
            <w:r w:rsidRPr="00814170">
              <w:rPr>
                <w:sz w:val="24"/>
                <w:szCs w:val="24"/>
                <w:lang w:val="de-DE" w:eastAsia="de-DE"/>
              </w:rPr>
              <w:t xml:space="preserve">. </w:t>
            </w:r>
            <w:proofErr w:type="spellStart"/>
            <w:r w:rsidRPr="00814170">
              <w:rPr>
                <w:sz w:val="24"/>
                <w:szCs w:val="24"/>
                <w:lang w:val="de-DE" w:eastAsia="de-DE"/>
              </w:rPr>
              <w:t>Внешний</w:t>
            </w:r>
            <w:proofErr w:type="spellEnd"/>
            <w:r w:rsidRPr="00814170">
              <w:rPr>
                <w:sz w:val="24"/>
                <w:szCs w:val="24"/>
                <w:lang w:val="de-DE" w:eastAsia="de-DE"/>
              </w:rPr>
              <w:t xml:space="preserve"> </w:t>
            </w:r>
            <w:proofErr w:type="spellStart"/>
            <w:r w:rsidRPr="00814170">
              <w:rPr>
                <w:sz w:val="24"/>
                <w:szCs w:val="24"/>
                <w:lang w:val="de-DE" w:eastAsia="de-DE"/>
              </w:rPr>
              <w:t>пакет</w:t>
            </w:r>
            <w:proofErr w:type="spellEnd"/>
            <w:r w:rsidRPr="00814170">
              <w:rPr>
                <w:sz w:val="24"/>
                <w:szCs w:val="24"/>
                <w:lang w:val="de-DE" w:eastAsia="de-DE"/>
              </w:rPr>
              <w:t xml:space="preserve"> </w:t>
            </w:r>
            <w:proofErr w:type="spellStart"/>
            <w:r w:rsidRPr="00814170">
              <w:rPr>
                <w:sz w:val="24"/>
                <w:szCs w:val="24"/>
                <w:lang w:val="de-DE" w:eastAsia="de-DE"/>
              </w:rPr>
              <w:t>должен</w:t>
            </w:r>
            <w:proofErr w:type="spellEnd"/>
            <w:r w:rsidRPr="00814170">
              <w:rPr>
                <w:sz w:val="24"/>
                <w:szCs w:val="24"/>
                <w:lang w:val="de-DE" w:eastAsia="de-DE"/>
              </w:rPr>
              <w:t xml:space="preserve"> </w:t>
            </w:r>
            <w:proofErr w:type="spellStart"/>
            <w:r w:rsidRPr="00814170">
              <w:rPr>
                <w:sz w:val="24"/>
                <w:szCs w:val="24"/>
                <w:lang w:val="de-DE" w:eastAsia="de-DE"/>
              </w:rPr>
              <w:t>быть</w:t>
            </w:r>
            <w:proofErr w:type="spellEnd"/>
            <w:r w:rsidRPr="00814170">
              <w:rPr>
                <w:sz w:val="24"/>
                <w:szCs w:val="24"/>
                <w:lang w:val="de-DE" w:eastAsia="de-DE"/>
              </w:rPr>
              <w:t xml:space="preserve"> </w:t>
            </w:r>
            <w:proofErr w:type="spellStart"/>
            <w:r w:rsidRPr="00814170">
              <w:rPr>
                <w:sz w:val="24"/>
                <w:szCs w:val="24"/>
                <w:lang w:val="de-DE" w:eastAsia="de-DE"/>
              </w:rPr>
              <w:t>из</w:t>
            </w:r>
            <w:proofErr w:type="spellEnd"/>
            <w:r w:rsidRPr="00814170">
              <w:rPr>
                <w:sz w:val="24"/>
                <w:szCs w:val="24"/>
                <w:lang w:val="de-DE" w:eastAsia="de-DE"/>
              </w:rPr>
              <w:t xml:space="preserve"> </w:t>
            </w:r>
            <w:proofErr w:type="spellStart"/>
            <w:r w:rsidRPr="00814170">
              <w:rPr>
                <w:sz w:val="24"/>
                <w:szCs w:val="24"/>
                <w:lang w:val="de-DE" w:eastAsia="de-DE"/>
              </w:rPr>
              <w:t>многослойных</w:t>
            </w:r>
            <w:proofErr w:type="spellEnd"/>
            <w:r w:rsidRPr="00814170">
              <w:rPr>
                <w:sz w:val="24"/>
                <w:szCs w:val="24"/>
                <w:lang w:val="de-DE" w:eastAsia="de-DE"/>
              </w:rPr>
              <w:t xml:space="preserve"> </w:t>
            </w:r>
            <w:proofErr w:type="spellStart"/>
            <w:r w:rsidRPr="00814170">
              <w:rPr>
                <w:sz w:val="24"/>
                <w:szCs w:val="24"/>
                <w:lang w:val="de-DE" w:eastAsia="de-DE"/>
              </w:rPr>
              <w:t>полимерных</w:t>
            </w:r>
            <w:proofErr w:type="spellEnd"/>
            <w:r w:rsidRPr="00814170">
              <w:rPr>
                <w:sz w:val="24"/>
                <w:szCs w:val="24"/>
                <w:lang w:val="de-DE" w:eastAsia="de-DE"/>
              </w:rPr>
              <w:t xml:space="preserve"> </w:t>
            </w:r>
            <w:proofErr w:type="spellStart"/>
            <w:r w:rsidRPr="00814170">
              <w:rPr>
                <w:sz w:val="24"/>
                <w:szCs w:val="24"/>
                <w:lang w:val="de-DE" w:eastAsia="de-DE"/>
              </w:rPr>
              <w:t>пленок</w:t>
            </w:r>
            <w:proofErr w:type="spellEnd"/>
            <w:r w:rsidRPr="00814170">
              <w:rPr>
                <w:sz w:val="24"/>
                <w:szCs w:val="24"/>
                <w:lang w:val="de-DE" w:eastAsia="de-DE"/>
              </w:rPr>
              <w:t xml:space="preserve"> и </w:t>
            </w:r>
            <w:proofErr w:type="spellStart"/>
            <w:r w:rsidRPr="00814170">
              <w:rPr>
                <w:sz w:val="24"/>
                <w:szCs w:val="24"/>
                <w:lang w:val="de-DE" w:eastAsia="de-DE"/>
              </w:rPr>
              <w:t>открываться</w:t>
            </w:r>
            <w:proofErr w:type="spellEnd"/>
            <w:r w:rsidRPr="00814170">
              <w:rPr>
                <w:sz w:val="24"/>
                <w:szCs w:val="24"/>
                <w:lang w:val="de-DE" w:eastAsia="de-DE"/>
              </w:rPr>
              <w:t xml:space="preserve"> </w:t>
            </w:r>
            <w:proofErr w:type="spellStart"/>
            <w:r w:rsidRPr="00814170">
              <w:rPr>
                <w:sz w:val="24"/>
                <w:szCs w:val="24"/>
                <w:lang w:val="de-DE" w:eastAsia="de-DE"/>
              </w:rPr>
              <w:t>без</w:t>
            </w:r>
            <w:proofErr w:type="spellEnd"/>
            <w:r w:rsidRPr="00814170">
              <w:rPr>
                <w:sz w:val="24"/>
                <w:szCs w:val="24"/>
                <w:lang w:val="de-DE" w:eastAsia="de-DE"/>
              </w:rPr>
              <w:t xml:space="preserve"> </w:t>
            </w:r>
            <w:proofErr w:type="spellStart"/>
            <w:r w:rsidRPr="00814170">
              <w:rPr>
                <w:sz w:val="24"/>
                <w:szCs w:val="24"/>
                <w:lang w:val="de-DE" w:eastAsia="de-DE"/>
              </w:rPr>
              <w:t>помощи</w:t>
            </w:r>
            <w:proofErr w:type="spellEnd"/>
            <w:r w:rsidRPr="00814170">
              <w:rPr>
                <w:sz w:val="24"/>
                <w:szCs w:val="24"/>
                <w:lang w:val="de-DE" w:eastAsia="de-DE"/>
              </w:rPr>
              <w:t xml:space="preserve"> </w:t>
            </w:r>
            <w:proofErr w:type="spellStart"/>
            <w:r w:rsidRPr="00814170">
              <w:rPr>
                <w:sz w:val="24"/>
                <w:szCs w:val="24"/>
                <w:lang w:val="de-DE" w:eastAsia="de-DE"/>
              </w:rPr>
              <w:t>ножниц</w:t>
            </w:r>
            <w:proofErr w:type="spellEnd"/>
            <w:r w:rsidRPr="00814170">
              <w:rPr>
                <w:sz w:val="24"/>
                <w:szCs w:val="24"/>
                <w:lang w:val="de-DE" w:eastAsia="de-DE"/>
              </w:rPr>
              <w:t>.</w:t>
            </w:r>
            <w:r w:rsidRPr="00814170">
              <w:rPr>
                <w:sz w:val="24"/>
                <w:szCs w:val="24"/>
                <w:lang w:eastAsia="de-DE"/>
              </w:rPr>
              <w:t xml:space="preserve"> В упаковке не менее 5 шт.</w:t>
            </w:r>
          </w:p>
          <w:p w:rsidR="00C126A3" w:rsidRPr="00C65CCE" w:rsidRDefault="00C126A3" w:rsidP="004F3512">
            <w:pPr>
              <w:pStyle w:val="Default"/>
              <w:jc w:val="both"/>
              <w:rPr>
                <w:b/>
                <w:bCs/>
              </w:rPr>
            </w:pPr>
          </w:p>
          <w:p w:rsidR="004F3512" w:rsidRDefault="004F3512" w:rsidP="004F3512">
            <w:pPr>
              <w:pStyle w:val="Default"/>
              <w:jc w:val="both"/>
              <w:rPr>
                <w:b/>
                <w:bCs/>
              </w:rPr>
            </w:pPr>
          </w:p>
        </w:tc>
      </w:tr>
      <w:tr w:rsidR="00AA2409" w:rsidTr="00C126A3">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AA2409" w:rsidRDefault="00AA2409">
            <w:pPr>
              <w:rPr>
                <w:b/>
                <w:bCs/>
                <w:lang w:eastAsia="en-US"/>
              </w:rPr>
            </w:pPr>
            <w:r>
              <w:rPr>
                <w:b/>
                <w:bCs/>
                <w:lang w:eastAsia="en-US"/>
              </w:rPr>
              <w:lastRenderedPageBreak/>
              <w:t>2</w:t>
            </w:r>
          </w:p>
        </w:tc>
        <w:tc>
          <w:tcPr>
            <w:tcW w:w="4857" w:type="dxa"/>
            <w:tcBorders>
              <w:top w:val="single" w:sz="4" w:space="0" w:color="auto"/>
              <w:left w:val="single" w:sz="4" w:space="0" w:color="auto"/>
              <w:bottom w:val="single" w:sz="4" w:space="0" w:color="auto"/>
              <w:right w:val="single" w:sz="4" w:space="0" w:color="auto"/>
            </w:tcBorders>
            <w:vAlign w:val="center"/>
            <w:hideMark/>
          </w:tcPr>
          <w:p w:rsidR="00AA2409" w:rsidRPr="00723E07" w:rsidRDefault="004F3512" w:rsidP="00467E73">
            <w:r w:rsidRPr="004F3512">
              <w:t>Винт полиаксиальный канюлированный фенестрированный</w:t>
            </w:r>
          </w:p>
        </w:tc>
        <w:tc>
          <w:tcPr>
            <w:tcW w:w="8972" w:type="dxa"/>
            <w:tcBorders>
              <w:top w:val="single" w:sz="4" w:space="0" w:color="auto"/>
              <w:left w:val="single" w:sz="4" w:space="0" w:color="auto"/>
              <w:bottom w:val="single" w:sz="4" w:space="0" w:color="auto"/>
              <w:right w:val="single" w:sz="4" w:space="0" w:color="auto"/>
            </w:tcBorders>
            <w:vAlign w:val="center"/>
            <w:hideMark/>
          </w:tcPr>
          <w:p w:rsidR="00AA2409" w:rsidRDefault="004F3512" w:rsidP="004F3512">
            <w:pPr>
              <w:jc w:val="both"/>
              <w:rPr>
                <w:bCs/>
                <w:sz w:val="24"/>
                <w:szCs w:val="24"/>
                <w:lang w:eastAsia="en-US"/>
              </w:rPr>
            </w:pPr>
            <w:r w:rsidRPr="00C65CCE">
              <w:rPr>
                <w:bCs/>
                <w:sz w:val="24"/>
                <w:szCs w:val="24"/>
                <w:lang w:eastAsia="en-US"/>
              </w:rPr>
              <w:t xml:space="preserve">Винт транспедикулярный полиаксиальный, диаметром  4.5, 5, 5.5, 6, 6.5, 7.5 , 8,5, 9,5, 10,5 мм, длиной (L) от 30 до 90 ммВинты транспедикулярные полиаксиальные, самонарезающие, цилиндрической формы по всей длине внешнего диаметра, резьба на стержне коническая, внешний диаметр резьбы постоянный. Стержень винта с переменным диаметром: от головки винта центрирующий конус стержня со спонгиозной резьбой, далее переходный конус стержня и завершающий конус стержня с кортикальной резьбой и закруглённым концом. Стержень винта имеет шарообразную головку, на которой нанесены ступенчатые круговые надрезы, которые эффективно фиксируют стержень винта в головке винта. Винт канюлированный по всей длине для проведения по спицевому направителю. На дистальном конце ножки винта 4 боковых отверстия (один ряд) каждые 90 градусов для винтов длиной от 30 до 40 мм и 8 боковых отверстия (два ряда) каждые 90 градусов для винтов длиной от 45 до 90. Полиаксиальные винты обеспечивают стабильную угловую фиксацию головки винта в диапазоне 45°. Внутри головки винта находится втулка с шаровидным углублением, которая блокирует головку стержня с головкой винта в моменте фиксации стержня диаметром 6 мм зажимным винтом. Винты двукортикальные, атравматические. </w:t>
            </w:r>
            <w:proofErr w:type="gramStart"/>
            <w:r w:rsidRPr="00C65CCE">
              <w:rPr>
                <w:bCs/>
                <w:sz w:val="24"/>
                <w:szCs w:val="24"/>
                <w:lang w:eastAsia="en-US"/>
              </w:rPr>
              <w:t>Два варианта исполнения резьбы - однозаходная или двузаходная (спонгиозная в дистальной части ножки и кортикальная в проксимальной), запроектирована таким образом, чтобы обеспечить стабильное крепление в губчатой и кортикальной кости, а также повысить прочность винта в области головки.</w:t>
            </w:r>
            <w:proofErr w:type="gramEnd"/>
            <w:r w:rsidRPr="00C65CCE">
              <w:rPr>
                <w:bCs/>
                <w:sz w:val="24"/>
                <w:szCs w:val="24"/>
                <w:lang w:eastAsia="en-US"/>
              </w:rPr>
              <w:t xml:space="preserve"> Головка типа камертон. Диаметр головки 14 мм, высота головки 14 мм, уплащена с обеих сторон на размер 10,5 мм, ширина канала под стержень 6,1 мм, внутренняя резьба головки специальная, диаметром 10,2 мм. На боковой закруглённой поверхности головки расположены два углубления на размер 12,2 мм, что позволяет ухватить головку винта прижимным инструментом.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Анодирование винтов. Цветовая кодировка головки винта в зависимости от диаметра, стержень винта серого цвета.</w:t>
            </w:r>
          </w:p>
          <w:p w:rsidR="00C65CCE" w:rsidRPr="00C65CCE" w:rsidRDefault="00C65CCE" w:rsidP="004F3512">
            <w:pPr>
              <w:jc w:val="both"/>
              <w:rPr>
                <w:bCs/>
                <w:sz w:val="24"/>
                <w:szCs w:val="24"/>
                <w:lang w:eastAsia="en-US"/>
              </w:rPr>
            </w:pPr>
          </w:p>
        </w:tc>
      </w:tr>
      <w:tr w:rsidR="00467E73" w:rsidTr="00C126A3">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467E73" w:rsidRDefault="00004013">
            <w:pPr>
              <w:rPr>
                <w:b/>
                <w:bCs/>
                <w:lang w:eastAsia="en-US"/>
              </w:rPr>
            </w:pPr>
            <w:r>
              <w:rPr>
                <w:b/>
                <w:bCs/>
                <w:lang w:eastAsia="en-US"/>
              </w:rPr>
              <w:lastRenderedPageBreak/>
              <w:t>3</w:t>
            </w:r>
          </w:p>
        </w:tc>
        <w:tc>
          <w:tcPr>
            <w:tcW w:w="4857" w:type="dxa"/>
            <w:tcBorders>
              <w:top w:val="single" w:sz="4" w:space="0" w:color="auto"/>
              <w:left w:val="single" w:sz="4" w:space="0" w:color="auto"/>
              <w:bottom w:val="single" w:sz="4" w:space="0" w:color="auto"/>
              <w:right w:val="single" w:sz="4" w:space="0" w:color="auto"/>
            </w:tcBorders>
            <w:vAlign w:val="center"/>
            <w:hideMark/>
          </w:tcPr>
          <w:p w:rsidR="00467E73" w:rsidRPr="00723E07" w:rsidRDefault="00DB16A3" w:rsidP="009C13EE">
            <w:r w:rsidRPr="00DB16A3">
              <w:t>Винт педикулярный, многоосевой, канюлированный</w:t>
            </w:r>
          </w:p>
        </w:tc>
        <w:tc>
          <w:tcPr>
            <w:tcW w:w="8972" w:type="dxa"/>
            <w:tcBorders>
              <w:top w:val="single" w:sz="4" w:space="0" w:color="auto"/>
              <w:left w:val="single" w:sz="4" w:space="0" w:color="auto"/>
              <w:bottom w:val="single" w:sz="4" w:space="0" w:color="auto"/>
              <w:right w:val="single" w:sz="4" w:space="0" w:color="auto"/>
            </w:tcBorders>
            <w:vAlign w:val="center"/>
            <w:hideMark/>
          </w:tcPr>
          <w:p w:rsidR="00467E73" w:rsidRPr="001A05B2" w:rsidRDefault="00DB16A3" w:rsidP="009C13EE">
            <w:pPr>
              <w:rPr>
                <w:bCs/>
                <w:sz w:val="21"/>
                <w:szCs w:val="21"/>
                <w:lang w:eastAsia="en-US"/>
              </w:rPr>
            </w:pPr>
            <w:r w:rsidRPr="001A05B2">
              <w:rPr>
                <w:bCs/>
                <w:sz w:val="21"/>
                <w:szCs w:val="21"/>
                <w:lang w:eastAsia="en-US"/>
              </w:rPr>
              <w:t>Винт канюлированный</w:t>
            </w:r>
            <w:r w:rsidR="003B2F34">
              <w:rPr>
                <w:bCs/>
                <w:sz w:val="21"/>
                <w:szCs w:val="21"/>
                <w:lang w:eastAsia="en-US"/>
              </w:rPr>
              <w:t xml:space="preserve"> </w:t>
            </w:r>
            <w:r w:rsidRPr="001A05B2">
              <w:rPr>
                <w:bCs/>
                <w:sz w:val="21"/>
                <w:szCs w:val="21"/>
                <w:lang w:eastAsia="en-US"/>
              </w:rPr>
              <w:t>многоосевой для стержня диаметром (</w:t>
            </w:r>
            <w:proofErr w:type="gramStart"/>
            <w:r w:rsidRPr="001A05B2">
              <w:rPr>
                <w:bCs/>
                <w:sz w:val="21"/>
                <w:szCs w:val="21"/>
                <w:lang w:eastAsia="en-US"/>
              </w:rPr>
              <w:t>мм</w:t>
            </w:r>
            <w:proofErr w:type="gramEnd"/>
            <w:r w:rsidRPr="001A05B2">
              <w:rPr>
                <w:bCs/>
                <w:sz w:val="21"/>
                <w:szCs w:val="21"/>
                <w:lang w:eastAsia="en-US"/>
              </w:rPr>
              <w:t xml:space="preserve">) 5.5, размером (мм) 4.5, 5.5, 6.5; длинной (мм) 35, 40, 45, 50, 55 – Изготовлен из титанового сплава марки Ti-6Al-4V, градация V, американский стандарт ASTM F136, немецкий стандарт DIN 17850. </w:t>
            </w:r>
            <w:proofErr w:type="gramStart"/>
            <w:r w:rsidRPr="001A05B2">
              <w:rPr>
                <w:bCs/>
                <w:sz w:val="21"/>
                <w:szCs w:val="21"/>
                <w:lang w:eastAsia="en-US"/>
              </w:rPr>
              <w:t>Многоосевой винт с самонарезающей резьбой, с постоянным широким шагом и диаметром, головкой «камертонного типа», на торцевых гранях которой имеются по две вертикальных прорези 1*4 мм, а на боковых стенках - по два круглых гнезда диаметром 4 мм, основание головки винта на протяжении нижней трети имеет меньший диаметр (на 2 мм), чем на протяжении верхнего отдела.</w:t>
            </w:r>
            <w:proofErr w:type="gramEnd"/>
            <w:r w:rsidRPr="001A05B2">
              <w:rPr>
                <w:bCs/>
                <w:sz w:val="21"/>
                <w:szCs w:val="21"/>
                <w:lang w:eastAsia="en-US"/>
              </w:rPr>
              <w:t xml:space="preserve"> Кончик педикулярного винта имеет тупую форму (60°). Головка винта фиксирована к ножке сферическим штампованным соединением; конец ножки, фиксированный в головке, сферической формы с внутренним шестигранным шлицем для фиксации отвертки в процессе имплантации. Ножка винта имеет резьбу с постоянным шагом 14.8 и уменьшающейся глубиной от конца к основанию, от 1,49 до 0,35 мм. Ножка винта имеет канюлю диаметром 0.8 мм. Размеры: диаметр (</w:t>
            </w:r>
            <w:proofErr w:type="gramStart"/>
            <w:r w:rsidRPr="001A05B2">
              <w:rPr>
                <w:bCs/>
                <w:sz w:val="21"/>
                <w:szCs w:val="21"/>
                <w:lang w:eastAsia="en-US"/>
              </w:rPr>
              <w:t>мм</w:t>
            </w:r>
            <w:proofErr w:type="gramEnd"/>
            <w:r w:rsidRPr="001A05B2">
              <w:rPr>
                <w:bCs/>
                <w:sz w:val="21"/>
                <w:szCs w:val="21"/>
                <w:lang w:eastAsia="en-US"/>
              </w:rPr>
              <w:t>) 4.5, 5.5, 6.5, длина от 35 до 55 мм с шагом 5 мм. Размеры головки винта: высота 16.1 мм, сагиттальная ширина 9.2 мм, диаметр 12.63 мм. Высота профиля 16.1 мм, диаметр футпринта 11 мм. Угол наклона головки винта относительно оси ножки винта составляет 28° при любом диаметре ножки винта.</w:t>
            </w:r>
          </w:p>
        </w:tc>
      </w:tr>
      <w:tr w:rsidR="00467E73" w:rsidTr="00C126A3">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467E73" w:rsidRDefault="00004013">
            <w:pPr>
              <w:rPr>
                <w:b/>
                <w:bCs/>
                <w:lang w:eastAsia="en-US"/>
              </w:rPr>
            </w:pPr>
            <w:r>
              <w:rPr>
                <w:b/>
                <w:bCs/>
                <w:lang w:eastAsia="en-US"/>
              </w:rPr>
              <w:t>4</w:t>
            </w:r>
          </w:p>
        </w:tc>
        <w:tc>
          <w:tcPr>
            <w:tcW w:w="4857" w:type="dxa"/>
            <w:tcBorders>
              <w:top w:val="single" w:sz="4" w:space="0" w:color="auto"/>
              <w:left w:val="single" w:sz="4" w:space="0" w:color="auto"/>
              <w:bottom w:val="single" w:sz="4" w:space="0" w:color="auto"/>
              <w:right w:val="single" w:sz="4" w:space="0" w:color="auto"/>
            </w:tcBorders>
            <w:vAlign w:val="center"/>
            <w:hideMark/>
          </w:tcPr>
          <w:p w:rsidR="00467E73" w:rsidRPr="00723E07" w:rsidRDefault="00DC1822" w:rsidP="006F17BE">
            <w:r w:rsidRPr="00DC1822">
              <w:rPr>
                <w:rFonts w:eastAsiaTheme="minorHAnsi"/>
                <w:color w:val="000000"/>
                <w:lang w:eastAsia="en-US"/>
              </w:rPr>
              <w:t>Программируемое гравитационное устройство для контролируемого оттока ликвора при гидроцефалии с принадлежностями</w:t>
            </w:r>
          </w:p>
        </w:tc>
        <w:tc>
          <w:tcPr>
            <w:tcW w:w="8972" w:type="dxa"/>
            <w:tcBorders>
              <w:top w:val="single" w:sz="4" w:space="0" w:color="auto"/>
              <w:left w:val="single" w:sz="4" w:space="0" w:color="auto"/>
              <w:bottom w:val="single" w:sz="4" w:space="0" w:color="auto"/>
              <w:right w:val="single" w:sz="4" w:space="0" w:color="auto"/>
            </w:tcBorders>
            <w:vAlign w:val="center"/>
            <w:hideMark/>
          </w:tcPr>
          <w:p w:rsidR="00467E73" w:rsidRPr="001A05B2" w:rsidRDefault="00DC1822" w:rsidP="003B2F34">
            <w:pPr>
              <w:rPr>
                <w:bCs/>
                <w:sz w:val="20"/>
                <w:szCs w:val="20"/>
                <w:lang w:eastAsia="en-US"/>
              </w:rPr>
            </w:pPr>
            <w:r w:rsidRPr="001A05B2">
              <w:rPr>
                <w:bCs/>
                <w:sz w:val="20"/>
                <w:szCs w:val="20"/>
                <w:lang w:eastAsia="en-US"/>
              </w:rPr>
              <w:t xml:space="preserve">Шунтирующая </w:t>
            </w:r>
            <w:proofErr w:type="gramStart"/>
            <w:r w:rsidRPr="001A05B2">
              <w:rPr>
                <w:bCs/>
                <w:sz w:val="20"/>
                <w:szCs w:val="20"/>
                <w:lang w:eastAsia="en-US"/>
              </w:rPr>
              <w:t>система</w:t>
            </w:r>
            <w:proofErr w:type="gramEnd"/>
            <w:r w:rsidRPr="001A05B2">
              <w:rPr>
                <w:bCs/>
                <w:sz w:val="20"/>
                <w:szCs w:val="20"/>
                <w:lang w:eastAsia="en-US"/>
              </w:rPr>
              <w:t xml:space="preserve"> состоящая из:  саморегулирующегося гравитационного клапана для лечения гидроцефалии у детей, который автоматически изменяет давление открытия клапана при перемене положения тела пациента, что эффективно предотвращает явления избыточного дренажа спинномозговой жидкости, позволяя избежать осложнений.  Комбинированные шариковый и гравитационный элементы. Активная адаптация давления открытия к положению тела человека обеспечивает физиологический дренаж спинномозговой жидкости. Удобная имплантация обтекаемого клапана уменьшает риск инфицирования. Титановая оболочка способствует максимально возможному объему пропускаемой через клапан жидкости при минимально возможных размерах клапана, уменьшая риск обструкции. Длина гравитационного элемента не более 14,9 мм, ширина не более 4,6 мм. Длина регулируемого клапана не более 18 мм. МРТ совместимость. К клапану присоединён дистальный катетер из высококачественного силикона без примесей латекса, внутренний диаметр не более 1,2 мм, наружный диаметр не более 2,5 мм, длина не более 1200 мм. Резервуар, который позволяет проводить измерение внутрижелудочковое давление, вводить лекарства и извлекать СМЖ, имеет титановый корпус, предотвращающий прокалывание системы при заборе СМЖ/инъекциях ЛС через силиконовый купол. Рентгенконтрастный. Диаметр резервуара 20мм (макс</w:t>
            </w:r>
            <w:proofErr w:type="gramStart"/>
            <w:r w:rsidRPr="001A05B2">
              <w:rPr>
                <w:bCs/>
                <w:sz w:val="20"/>
                <w:szCs w:val="20"/>
                <w:lang w:eastAsia="en-US"/>
              </w:rPr>
              <w:t>.в</w:t>
            </w:r>
            <w:proofErr w:type="gramEnd"/>
            <w:r w:rsidRPr="001A05B2">
              <w:rPr>
                <w:bCs/>
                <w:sz w:val="20"/>
                <w:szCs w:val="20"/>
                <w:lang w:eastAsia="en-US"/>
              </w:rPr>
              <w:t>ысота 4,8 мм). Вентрикулярный катетер с отверстиями на дистальном кончике из высококачественного силикона без примесей латекса, импрегнирован барием. Внутренний диаметр не более 1,2 мм, наружный диаметр не более 2,5 мм, длина не более 250 мм. Рентгенконтрастные маркеры длин</w:t>
            </w:r>
            <w:r w:rsidR="003B2F34">
              <w:rPr>
                <w:bCs/>
                <w:sz w:val="20"/>
                <w:szCs w:val="20"/>
                <w:lang w:eastAsia="en-US"/>
              </w:rPr>
              <w:t>н</w:t>
            </w:r>
            <w:r w:rsidRPr="001A05B2">
              <w:rPr>
                <w:bCs/>
                <w:sz w:val="20"/>
                <w:szCs w:val="20"/>
                <w:lang w:eastAsia="en-US"/>
              </w:rPr>
              <w:t>ы</w:t>
            </w:r>
            <w:r w:rsidR="003B2F34">
              <w:rPr>
                <w:bCs/>
                <w:sz w:val="20"/>
                <w:szCs w:val="20"/>
                <w:lang w:eastAsia="en-US"/>
              </w:rPr>
              <w:t>е</w:t>
            </w:r>
            <w:r w:rsidRPr="001A05B2">
              <w:rPr>
                <w:bCs/>
                <w:sz w:val="20"/>
                <w:szCs w:val="20"/>
                <w:lang w:eastAsia="en-US"/>
              </w:rPr>
              <w:t xml:space="preserve">. На катетере располагается титановый дефлектор, рентгенконтрастный, с выемкой, позволяющей придать катетеру направление под прямым </w:t>
            </w:r>
            <w:proofErr w:type="gramStart"/>
            <w:r w:rsidRPr="001A05B2">
              <w:rPr>
                <w:bCs/>
                <w:sz w:val="20"/>
                <w:szCs w:val="20"/>
                <w:lang w:eastAsia="en-US"/>
              </w:rPr>
              <w:t>углом</w:t>
            </w:r>
            <w:proofErr w:type="gramEnd"/>
            <w:r w:rsidRPr="001A05B2">
              <w:rPr>
                <w:bCs/>
                <w:sz w:val="20"/>
                <w:szCs w:val="20"/>
                <w:lang w:eastAsia="en-US"/>
              </w:rPr>
              <w:t xml:space="preserve"> не пережимая его, и с отверстиями для фиксации. Регулируемое положение на катетере. Стилет для введения катетера.</w:t>
            </w:r>
          </w:p>
        </w:tc>
      </w:tr>
      <w:tr w:rsidR="00075388" w:rsidTr="00C126A3">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075388" w:rsidRDefault="00004013">
            <w:pPr>
              <w:rPr>
                <w:b/>
                <w:bCs/>
                <w:lang w:eastAsia="en-US"/>
              </w:rPr>
            </w:pPr>
            <w:r>
              <w:rPr>
                <w:b/>
                <w:bCs/>
                <w:lang w:eastAsia="en-US"/>
              </w:rPr>
              <w:lastRenderedPageBreak/>
              <w:t>5</w:t>
            </w:r>
          </w:p>
        </w:tc>
        <w:tc>
          <w:tcPr>
            <w:tcW w:w="4857" w:type="dxa"/>
            <w:tcBorders>
              <w:top w:val="single" w:sz="4" w:space="0" w:color="auto"/>
              <w:left w:val="single" w:sz="4" w:space="0" w:color="auto"/>
              <w:bottom w:val="single" w:sz="4" w:space="0" w:color="auto"/>
              <w:right w:val="single" w:sz="4" w:space="0" w:color="auto"/>
            </w:tcBorders>
            <w:vAlign w:val="center"/>
            <w:hideMark/>
          </w:tcPr>
          <w:p w:rsidR="00075388" w:rsidRPr="00723E07" w:rsidRDefault="00DC1822" w:rsidP="00AA2409">
            <w:r w:rsidRPr="00DC1822">
              <w:rPr>
                <w:rFonts w:eastAsiaTheme="minorHAnsi"/>
                <w:color w:val="000000"/>
                <w:lang w:eastAsia="en-US"/>
              </w:rPr>
              <w:t>Интрапаренхимальный датчик с фиксатором</w:t>
            </w:r>
          </w:p>
        </w:tc>
        <w:tc>
          <w:tcPr>
            <w:tcW w:w="8972" w:type="dxa"/>
            <w:tcBorders>
              <w:top w:val="single" w:sz="4" w:space="0" w:color="auto"/>
              <w:left w:val="single" w:sz="4" w:space="0" w:color="auto"/>
              <w:bottom w:val="single" w:sz="4" w:space="0" w:color="auto"/>
              <w:right w:val="single" w:sz="4" w:space="0" w:color="auto"/>
            </w:tcBorders>
            <w:vAlign w:val="center"/>
            <w:hideMark/>
          </w:tcPr>
          <w:p w:rsidR="00075388" w:rsidRDefault="00C65CCE" w:rsidP="00C77EF6">
            <w:pPr>
              <w:rPr>
                <w:b/>
                <w:bCs/>
                <w:lang w:eastAsia="en-US"/>
              </w:rPr>
            </w:pPr>
            <w:r w:rsidRPr="00C65CCE">
              <w:rPr>
                <w:color w:val="000000"/>
              </w:rPr>
              <w:t>Интрапаренхимальный датчик с фиксатором</w:t>
            </w:r>
            <w:proofErr w:type="gramStart"/>
            <w:r w:rsidRPr="00C65CCE">
              <w:rPr>
                <w:color w:val="000000"/>
              </w:rPr>
              <w:t>,з</w:t>
            </w:r>
            <w:proofErr w:type="gramEnd"/>
            <w:r w:rsidRPr="00C65CCE">
              <w:rPr>
                <w:color w:val="000000"/>
              </w:rPr>
              <w:t>онд.</w:t>
            </w:r>
            <w:r w:rsidRPr="00C65CCE">
              <w:rPr>
                <w:color w:val="000000"/>
              </w:rPr>
              <w:br/>
              <w:t>Материал - Полиуретан</w:t>
            </w:r>
            <w:r w:rsidRPr="00C65CCE">
              <w:rPr>
                <w:color w:val="000000"/>
              </w:rPr>
              <w:br/>
              <w:t>Объем заполнения - От 0,05 до 0,1</w:t>
            </w:r>
            <w:r w:rsidRPr="00C65CCE">
              <w:rPr>
                <w:color w:val="000000"/>
              </w:rPr>
              <w:br/>
              <w:t>Диаметр трубки  - Не менее 2 мм</w:t>
            </w:r>
            <w:r w:rsidRPr="00C65CCE">
              <w:rPr>
                <w:color w:val="000000"/>
              </w:rPr>
              <w:br/>
              <w:t>Длина- Не менее 1500 мм</w:t>
            </w:r>
            <w:r w:rsidRPr="00C65CCE">
              <w:rPr>
                <w:color w:val="000000"/>
              </w:rPr>
              <w:br/>
              <w:t>Воздушная трубка - Рентгенонепрозрачная</w:t>
            </w:r>
            <w:r w:rsidRPr="00C65CCE">
              <w:rPr>
                <w:color w:val="000000"/>
              </w:rPr>
              <w:br/>
              <w:t>Двойная стерильная упаковка, одноразовое применение</w:t>
            </w:r>
            <w:r w:rsidR="00276CAD">
              <w:rPr>
                <w:color w:val="000000"/>
              </w:rPr>
              <w:t>.</w:t>
            </w:r>
          </w:p>
        </w:tc>
      </w:tr>
      <w:tr w:rsidR="00004013" w:rsidTr="00C126A3">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004013" w:rsidRDefault="00004013">
            <w:pPr>
              <w:rPr>
                <w:b/>
                <w:bCs/>
                <w:lang w:eastAsia="en-US"/>
              </w:rPr>
            </w:pPr>
            <w:r>
              <w:rPr>
                <w:b/>
                <w:bCs/>
                <w:lang w:eastAsia="en-US"/>
              </w:rPr>
              <w:t>6</w:t>
            </w:r>
          </w:p>
        </w:tc>
        <w:tc>
          <w:tcPr>
            <w:tcW w:w="4857" w:type="dxa"/>
            <w:tcBorders>
              <w:top w:val="single" w:sz="4" w:space="0" w:color="auto"/>
              <w:left w:val="single" w:sz="4" w:space="0" w:color="auto"/>
              <w:bottom w:val="single" w:sz="4" w:space="0" w:color="auto"/>
              <w:right w:val="single" w:sz="4" w:space="0" w:color="auto"/>
            </w:tcBorders>
            <w:vAlign w:val="center"/>
            <w:hideMark/>
          </w:tcPr>
          <w:p w:rsidR="00004013" w:rsidRPr="00723E07" w:rsidRDefault="00DC1822" w:rsidP="004F779D">
            <w:pPr>
              <w:rPr>
                <w:rFonts w:eastAsiaTheme="minorHAnsi"/>
                <w:lang w:eastAsia="en-US"/>
              </w:rPr>
            </w:pPr>
            <w:r w:rsidRPr="00DC1822">
              <w:rPr>
                <w:rFonts w:eastAsiaTheme="minorHAnsi"/>
                <w:color w:val="000000"/>
                <w:lang w:eastAsia="en-US"/>
              </w:rPr>
              <w:t>Интравентрикулярный датчик с возможностью дренирования целеброспинальной жидкости</w:t>
            </w:r>
          </w:p>
        </w:tc>
        <w:tc>
          <w:tcPr>
            <w:tcW w:w="8972" w:type="dxa"/>
            <w:tcBorders>
              <w:top w:val="single" w:sz="4" w:space="0" w:color="auto"/>
              <w:left w:val="single" w:sz="4" w:space="0" w:color="auto"/>
              <w:bottom w:val="single" w:sz="4" w:space="0" w:color="auto"/>
              <w:right w:val="single" w:sz="4" w:space="0" w:color="auto"/>
            </w:tcBorders>
            <w:vAlign w:val="center"/>
            <w:hideMark/>
          </w:tcPr>
          <w:p w:rsidR="00004013" w:rsidRPr="00C65CCE" w:rsidRDefault="00C65CCE" w:rsidP="009C13EE">
            <w:pPr>
              <w:pStyle w:val="Default"/>
              <w:rPr>
                <w:sz w:val="22"/>
                <w:szCs w:val="22"/>
              </w:rPr>
            </w:pPr>
            <w:r w:rsidRPr="00C65CCE">
              <w:rPr>
                <w:rFonts w:eastAsia="Times New Roman"/>
                <w:sz w:val="22"/>
                <w:szCs w:val="22"/>
                <w:lang w:eastAsia="ru-RU"/>
              </w:rPr>
              <w:t xml:space="preserve">Интравентрикулярный датчик </w:t>
            </w:r>
            <w:r w:rsidRPr="00C65CCE">
              <w:rPr>
                <w:rFonts w:eastAsia="Times New Roman"/>
                <w:sz w:val="22"/>
                <w:szCs w:val="22"/>
                <w:lang w:eastAsia="ru-RU"/>
              </w:rPr>
              <w:br/>
              <w:t xml:space="preserve">Материал -  Полиуретан </w:t>
            </w:r>
            <w:r w:rsidRPr="00C65CCE">
              <w:rPr>
                <w:rFonts w:eastAsia="Times New Roman"/>
                <w:sz w:val="22"/>
                <w:szCs w:val="22"/>
                <w:lang w:eastAsia="ru-RU"/>
              </w:rPr>
              <w:br/>
              <w:t xml:space="preserve">Объем заполнения - От 0,05 до  0,1 </w:t>
            </w:r>
            <w:r w:rsidRPr="00C65CCE">
              <w:rPr>
                <w:rFonts w:eastAsia="Times New Roman"/>
                <w:sz w:val="22"/>
                <w:szCs w:val="22"/>
                <w:lang w:eastAsia="ru-RU"/>
              </w:rPr>
              <w:br/>
              <w:t xml:space="preserve">Диаметр трубки - Не менее 2,3 мм </w:t>
            </w:r>
            <w:r w:rsidRPr="00C65CCE">
              <w:rPr>
                <w:rFonts w:eastAsia="Times New Roman"/>
                <w:sz w:val="22"/>
                <w:szCs w:val="22"/>
                <w:lang w:eastAsia="ru-RU"/>
              </w:rPr>
              <w:br/>
              <w:t>Внутренний диаметр дренажа - Не менее 3 мм</w:t>
            </w:r>
            <w:r w:rsidRPr="00C65CCE">
              <w:rPr>
                <w:rFonts w:eastAsia="Times New Roman"/>
                <w:sz w:val="22"/>
                <w:szCs w:val="22"/>
                <w:lang w:eastAsia="ru-RU"/>
              </w:rPr>
              <w:br/>
              <w:t xml:space="preserve">Длина двойного люмена - Не менее 130 мм  </w:t>
            </w:r>
            <w:r w:rsidRPr="00C65CCE">
              <w:rPr>
                <w:rFonts w:eastAsia="Times New Roman"/>
                <w:sz w:val="22"/>
                <w:szCs w:val="22"/>
                <w:lang w:eastAsia="ru-RU"/>
              </w:rPr>
              <w:br/>
              <w:t>Длина одинарного люмена (дренаж)- Не менее 150 мм</w:t>
            </w:r>
            <w:r w:rsidRPr="00C65CCE">
              <w:rPr>
                <w:rFonts w:eastAsia="Times New Roman"/>
                <w:sz w:val="22"/>
                <w:szCs w:val="22"/>
                <w:lang w:eastAsia="ru-RU"/>
              </w:rPr>
              <w:br/>
              <w:t xml:space="preserve">Длина одинарного люмена (воздушная система) </w:t>
            </w:r>
            <w:proofErr w:type="gramStart"/>
            <w:r w:rsidRPr="00C65CCE">
              <w:rPr>
                <w:rFonts w:eastAsia="Times New Roman"/>
                <w:sz w:val="22"/>
                <w:szCs w:val="22"/>
                <w:lang w:eastAsia="ru-RU"/>
              </w:rPr>
              <w:t>-Н</w:t>
            </w:r>
            <w:proofErr w:type="gramEnd"/>
            <w:r w:rsidRPr="00C65CCE">
              <w:rPr>
                <w:rFonts w:eastAsia="Times New Roman"/>
                <w:sz w:val="22"/>
                <w:szCs w:val="22"/>
                <w:lang w:eastAsia="ru-RU"/>
              </w:rPr>
              <w:t>е менее 1370 мм</w:t>
            </w:r>
            <w:r w:rsidRPr="00C65CCE">
              <w:rPr>
                <w:rFonts w:eastAsia="Times New Roman"/>
                <w:sz w:val="22"/>
                <w:szCs w:val="22"/>
                <w:lang w:eastAsia="ru-RU"/>
              </w:rPr>
              <w:br/>
              <w:t xml:space="preserve">Маркировка глубины-  Не менее 50 мм  </w:t>
            </w:r>
            <w:r w:rsidRPr="00C65CCE">
              <w:rPr>
                <w:rFonts w:eastAsia="Times New Roman"/>
                <w:sz w:val="22"/>
                <w:szCs w:val="22"/>
                <w:lang w:eastAsia="ru-RU"/>
              </w:rPr>
              <w:br/>
              <w:t>Длительность использования - Не менее 30 дней</w:t>
            </w:r>
            <w:r w:rsidRPr="00C65CCE">
              <w:rPr>
                <w:rFonts w:eastAsia="Times New Roman"/>
                <w:sz w:val="22"/>
                <w:szCs w:val="22"/>
                <w:lang w:eastAsia="ru-RU"/>
              </w:rPr>
              <w:br/>
              <w:t>Двойная стерильная упаковка, одноразовое применение</w:t>
            </w:r>
          </w:p>
        </w:tc>
      </w:tr>
      <w:tr w:rsidR="00004013" w:rsidTr="00C126A3">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004013" w:rsidRDefault="00004013">
            <w:pPr>
              <w:rPr>
                <w:b/>
                <w:bCs/>
                <w:lang w:eastAsia="en-US"/>
              </w:rPr>
            </w:pPr>
            <w:r>
              <w:rPr>
                <w:b/>
                <w:bCs/>
                <w:lang w:eastAsia="en-US"/>
              </w:rPr>
              <w:t>7</w:t>
            </w:r>
          </w:p>
        </w:tc>
        <w:tc>
          <w:tcPr>
            <w:tcW w:w="4857" w:type="dxa"/>
            <w:tcBorders>
              <w:top w:val="single" w:sz="4" w:space="0" w:color="auto"/>
              <w:left w:val="single" w:sz="4" w:space="0" w:color="auto"/>
              <w:bottom w:val="single" w:sz="4" w:space="0" w:color="auto"/>
              <w:right w:val="single" w:sz="4" w:space="0" w:color="auto"/>
            </w:tcBorders>
            <w:vAlign w:val="center"/>
            <w:hideMark/>
          </w:tcPr>
          <w:p w:rsidR="00004013" w:rsidRPr="001A05B2" w:rsidRDefault="00DB16A3" w:rsidP="00791A58">
            <w:pPr>
              <w:rPr>
                <w:color w:val="000000"/>
              </w:rPr>
            </w:pPr>
            <w:r w:rsidRPr="001A05B2">
              <w:rPr>
                <w:color w:val="000000"/>
              </w:rPr>
              <w:t>Кейджи</w:t>
            </w:r>
          </w:p>
        </w:tc>
        <w:tc>
          <w:tcPr>
            <w:tcW w:w="8972" w:type="dxa"/>
            <w:tcBorders>
              <w:top w:val="single" w:sz="4" w:space="0" w:color="auto"/>
              <w:left w:val="single" w:sz="4" w:space="0" w:color="auto"/>
              <w:bottom w:val="single" w:sz="4" w:space="0" w:color="auto"/>
              <w:right w:val="single" w:sz="4" w:space="0" w:color="auto"/>
            </w:tcBorders>
            <w:vAlign w:val="center"/>
            <w:hideMark/>
          </w:tcPr>
          <w:p w:rsidR="00DB16A3" w:rsidRPr="00DB16A3" w:rsidRDefault="00DB16A3" w:rsidP="00DB16A3">
            <w:pPr>
              <w:pStyle w:val="Default"/>
              <w:rPr>
                <w:sz w:val="22"/>
                <w:szCs w:val="22"/>
              </w:rPr>
            </w:pPr>
            <w:proofErr w:type="gramStart"/>
            <w:r w:rsidRPr="00DB16A3">
              <w:rPr>
                <w:sz w:val="22"/>
                <w:szCs w:val="22"/>
              </w:rPr>
              <w:t>Кейдж система "прямых" кейджей, которые могут быть вставлены между двумя замыкательными пластинами соседних позвонков в дисков</w:t>
            </w:r>
            <w:r w:rsidR="003B2F34">
              <w:rPr>
                <w:sz w:val="22"/>
                <w:szCs w:val="22"/>
              </w:rPr>
              <w:t>о</w:t>
            </w:r>
            <w:r w:rsidRPr="00DB16A3">
              <w:rPr>
                <w:sz w:val="22"/>
                <w:szCs w:val="22"/>
              </w:rPr>
              <w:t>м пространстве для поддержки и коррекции во время операций по интеркорпоральному спондилодезу для фиксации и ускорения сращения костей во время нормального процесса заживления после хирургической коррекции нарушений позвоночника и при проведении заднего межтелового спондилодеза (PLIF) и трансфораминального межтелового спондилодеза (TLIF).</w:t>
            </w:r>
            <w:proofErr w:type="gramEnd"/>
            <w:r w:rsidRPr="00DB16A3">
              <w:rPr>
                <w:sz w:val="22"/>
                <w:szCs w:val="22"/>
              </w:rPr>
              <w:t xml:space="preserve"> Системы кейджей должны состоять из клеток PEEK (полиэфирэфиркетона), отвечающего минимальным стандартам ASTM F2026.  Кейджи длинной 22, 26, 32, 36 мм, высотой 8, 10, 12, 14 (в зависимости о заявки получателя), ширина 10 мм</w:t>
            </w:r>
            <w:proofErr w:type="gramStart"/>
            <w:r w:rsidRPr="00DB16A3">
              <w:rPr>
                <w:sz w:val="22"/>
                <w:szCs w:val="22"/>
              </w:rPr>
              <w:t>.Х</w:t>
            </w:r>
            <w:proofErr w:type="gramEnd"/>
            <w:r w:rsidRPr="00DB16A3">
              <w:rPr>
                <w:sz w:val="22"/>
                <w:szCs w:val="22"/>
              </w:rPr>
              <w:t>арактеристики имплантатов:</w:t>
            </w:r>
          </w:p>
          <w:p w:rsidR="00004013" w:rsidRDefault="00DB16A3" w:rsidP="00DB16A3">
            <w:pPr>
              <w:pStyle w:val="Default"/>
              <w:rPr>
                <w:sz w:val="22"/>
                <w:szCs w:val="22"/>
              </w:rPr>
            </w:pPr>
            <w:r w:rsidRPr="00DB16A3">
              <w:rPr>
                <w:sz w:val="22"/>
                <w:szCs w:val="22"/>
              </w:rPr>
              <w:t>Возможность саморастягивания, закругленный наконечник для предотвращения травматизации нервных корешков, имплантаты выпуклой формы предназначены для соответствия анатомическим особенностям пациента и возможности подбора более точного размера, ассиметричные зубцы на поверхности уменьшают вероятность выталкивания. В средней части импланта имеется овальная полость шириной 6 мм для заполнения костным трансплантатом или биосентетическими наполнителями.  В передней части имеются танталовые рентгенконтрасные маркеры.</w:t>
            </w:r>
            <w:r w:rsidR="003B2F34">
              <w:rPr>
                <w:sz w:val="22"/>
                <w:szCs w:val="22"/>
              </w:rPr>
              <w:t xml:space="preserve"> </w:t>
            </w:r>
          </w:p>
          <w:p w:rsidR="003B2F34" w:rsidRPr="003B2409" w:rsidRDefault="003B2F34" w:rsidP="00DB16A3">
            <w:pPr>
              <w:pStyle w:val="Default"/>
              <w:rPr>
                <w:sz w:val="22"/>
                <w:szCs w:val="22"/>
              </w:rPr>
            </w:pPr>
          </w:p>
        </w:tc>
      </w:tr>
      <w:tr w:rsidR="00004013" w:rsidTr="00C126A3">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004013" w:rsidRDefault="00C65CCE">
            <w:pPr>
              <w:rPr>
                <w:b/>
                <w:bCs/>
                <w:lang w:eastAsia="en-US"/>
              </w:rPr>
            </w:pPr>
            <w:r>
              <w:rPr>
                <w:b/>
                <w:bCs/>
                <w:lang w:eastAsia="en-US"/>
              </w:rPr>
              <w:lastRenderedPageBreak/>
              <w:t>8</w:t>
            </w:r>
          </w:p>
        </w:tc>
        <w:tc>
          <w:tcPr>
            <w:tcW w:w="4857" w:type="dxa"/>
            <w:tcBorders>
              <w:top w:val="single" w:sz="4" w:space="0" w:color="auto"/>
              <w:left w:val="single" w:sz="4" w:space="0" w:color="auto"/>
              <w:bottom w:val="single" w:sz="4" w:space="0" w:color="auto"/>
              <w:right w:val="single" w:sz="4" w:space="0" w:color="auto"/>
            </w:tcBorders>
            <w:vAlign w:val="center"/>
            <w:hideMark/>
          </w:tcPr>
          <w:p w:rsidR="00004013" w:rsidRPr="00723E07" w:rsidRDefault="00C65CCE" w:rsidP="00AA2409">
            <w:pPr>
              <w:rPr>
                <w:color w:val="000000"/>
              </w:rPr>
            </w:pPr>
            <w:r w:rsidRPr="00DC1822">
              <w:rPr>
                <w:rFonts w:eastAsiaTheme="minorHAnsi"/>
                <w:color w:val="000000"/>
                <w:lang w:eastAsia="en-US"/>
              </w:rPr>
              <w:t>Раствор промывочный 600мл.</w:t>
            </w:r>
          </w:p>
        </w:tc>
        <w:tc>
          <w:tcPr>
            <w:tcW w:w="8972" w:type="dxa"/>
            <w:tcBorders>
              <w:top w:val="single" w:sz="4" w:space="0" w:color="auto"/>
              <w:left w:val="single" w:sz="4" w:space="0" w:color="auto"/>
              <w:bottom w:val="single" w:sz="4" w:space="0" w:color="auto"/>
              <w:right w:val="single" w:sz="4" w:space="0" w:color="auto"/>
            </w:tcBorders>
            <w:vAlign w:val="center"/>
            <w:hideMark/>
          </w:tcPr>
          <w:p w:rsidR="00004013" w:rsidRPr="00C65CCE" w:rsidRDefault="00AD20CA" w:rsidP="009C13EE">
            <w:pPr>
              <w:pStyle w:val="Default"/>
              <w:rPr>
                <w:sz w:val="22"/>
                <w:szCs w:val="22"/>
              </w:rPr>
            </w:pPr>
            <w:r w:rsidRPr="00AD20CA">
              <w:rPr>
                <w:sz w:val="22"/>
                <w:szCs w:val="22"/>
              </w:rPr>
              <w:t>Раствор промывочный</w:t>
            </w:r>
            <w:r>
              <w:rPr>
                <w:sz w:val="22"/>
                <w:szCs w:val="22"/>
              </w:rPr>
              <w:t xml:space="preserve">. </w:t>
            </w:r>
            <w:r w:rsidRPr="00AD20CA">
              <w:rPr>
                <w:sz w:val="22"/>
                <w:szCs w:val="22"/>
              </w:rPr>
              <w:t>Объем 600 мл. Применяется для автоматической промывки измерительной системы анализаторов ABL800. Для диагностики in vitro.Содержит неорганические соли, буфер, антикоагулянт, консервант и ПАВ</w:t>
            </w:r>
          </w:p>
        </w:tc>
      </w:tr>
      <w:tr w:rsidR="00F56CD8" w:rsidTr="009839FB">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F56CD8" w:rsidRDefault="00F56CD8">
            <w:pPr>
              <w:rPr>
                <w:b/>
                <w:bCs/>
                <w:lang w:eastAsia="en-US"/>
              </w:rPr>
            </w:pPr>
            <w:r>
              <w:rPr>
                <w:b/>
                <w:bCs/>
                <w:lang w:eastAsia="en-US"/>
              </w:rPr>
              <w:t>9</w:t>
            </w:r>
          </w:p>
        </w:tc>
        <w:tc>
          <w:tcPr>
            <w:tcW w:w="4857" w:type="dxa"/>
            <w:tcBorders>
              <w:top w:val="single" w:sz="4" w:space="0" w:color="auto"/>
              <w:left w:val="single" w:sz="4" w:space="0" w:color="auto"/>
              <w:bottom w:val="single" w:sz="4" w:space="0" w:color="auto"/>
              <w:right w:val="single" w:sz="4" w:space="0" w:color="auto"/>
            </w:tcBorders>
            <w:hideMark/>
          </w:tcPr>
          <w:p w:rsidR="00F56CD8" w:rsidRPr="00DC1822" w:rsidRDefault="00E035FB" w:rsidP="003E7FA6">
            <w:pPr>
              <w:autoSpaceDE w:val="0"/>
              <w:autoSpaceDN w:val="0"/>
              <w:adjustRightInd w:val="0"/>
              <w:rPr>
                <w:rFonts w:eastAsiaTheme="minorHAnsi"/>
                <w:color w:val="000000"/>
                <w:lang w:eastAsia="en-US"/>
              </w:rPr>
            </w:pPr>
            <w:r>
              <w:rPr>
                <w:rFonts w:eastAsiaTheme="minorHAnsi"/>
                <w:color w:val="000000"/>
                <w:lang w:eastAsia="en-US"/>
              </w:rPr>
              <w:t xml:space="preserve">                                                                                         </w:t>
            </w:r>
            <w:r w:rsidR="00F56CD8" w:rsidRPr="00DC1822">
              <w:rPr>
                <w:rFonts w:eastAsiaTheme="minorHAnsi"/>
                <w:color w:val="000000"/>
                <w:lang w:eastAsia="en-US"/>
              </w:rPr>
              <w:t>Клипс титановый, Т-образный</w:t>
            </w:r>
          </w:p>
        </w:tc>
        <w:tc>
          <w:tcPr>
            <w:tcW w:w="8972" w:type="dxa"/>
            <w:tcBorders>
              <w:top w:val="single" w:sz="4" w:space="0" w:color="auto"/>
              <w:left w:val="single" w:sz="4" w:space="0" w:color="auto"/>
              <w:bottom w:val="single" w:sz="4" w:space="0" w:color="auto"/>
              <w:right w:val="single" w:sz="4" w:space="0" w:color="auto"/>
            </w:tcBorders>
            <w:vAlign w:val="center"/>
            <w:hideMark/>
          </w:tcPr>
          <w:p w:rsidR="00F56CD8" w:rsidRPr="000A2974" w:rsidRDefault="002001D1" w:rsidP="009C13EE">
            <w:pPr>
              <w:pStyle w:val="Default"/>
              <w:rPr>
                <w:sz w:val="22"/>
                <w:szCs w:val="22"/>
              </w:rPr>
            </w:pPr>
            <w:r w:rsidRPr="002001D1">
              <w:rPr>
                <w:sz w:val="22"/>
                <w:szCs w:val="22"/>
              </w:rPr>
              <w:t>Клипс титановый, стандартный, постоянный, Т-образный 5 мм, под углом 45˚Клипс титановый, стандартный, постоянный, Т-образный, окончатый, диаметр отверстия 5,0 мм, максимальная ширина открытия 5,5 мм, длина браншей 5,0 мм, сила зажима 150 гр., изогнутый под углом 45˚</w:t>
            </w:r>
          </w:p>
        </w:tc>
      </w:tr>
      <w:tr w:rsidR="00F56CD8" w:rsidTr="009839FB">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F56CD8" w:rsidRDefault="00F56CD8">
            <w:pPr>
              <w:rPr>
                <w:b/>
                <w:bCs/>
                <w:lang w:eastAsia="en-US"/>
              </w:rPr>
            </w:pPr>
            <w:r>
              <w:rPr>
                <w:b/>
                <w:bCs/>
                <w:lang w:eastAsia="en-US"/>
              </w:rPr>
              <w:t>10</w:t>
            </w:r>
          </w:p>
        </w:tc>
        <w:tc>
          <w:tcPr>
            <w:tcW w:w="4857" w:type="dxa"/>
            <w:tcBorders>
              <w:top w:val="single" w:sz="4" w:space="0" w:color="auto"/>
              <w:left w:val="single" w:sz="4" w:space="0" w:color="auto"/>
              <w:bottom w:val="single" w:sz="4" w:space="0" w:color="auto"/>
              <w:right w:val="single" w:sz="4" w:space="0" w:color="auto"/>
            </w:tcBorders>
            <w:hideMark/>
          </w:tcPr>
          <w:p w:rsidR="00F56CD8" w:rsidRPr="00DC1822" w:rsidRDefault="00E035FB" w:rsidP="003E7FA6">
            <w:pPr>
              <w:autoSpaceDE w:val="0"/>
              <w:autoSpaceDN w:val="0"/>
              <w:adjustRightInd w:val="0"/>
              <w:rPr>
                <w:rFonts w:eastAsiaTheme="minorHAnsi"/>
                <w:color w:val="000000"/>
                <w:lang w:eastAsia="en-US"/>
              </w:rPr>
            </w:pPr>
            <w:r>
              <w:rPr>
                <w:rFonts w:eastAsiaTheme="minorHAnsi"/>
                <w:color w:val="000000"/>
                <w:lang w:eastAsia="en-US"/>
              </w:rPr>
              <w:t xml:space="preserve">                                                                                      </w:t>
            </w:r>
            <w:r w:rsidR="00F56CD8" w:rsidRPr="00DC1822">
              <w:rPr>
                <w:rFonts w:eastAsiaTheme="minorHAnsi"/>
                <w:color w:val="000000"/>
                <w:lang w:eastAsia="en-US"/>
              </w:rPr>
              <w:t>Шприц 190 мл.</w:t>
            </w:r>
          </w:p>
        </w:tc>
        <w:tc>
          <w:tcPr>
            <w:tcW w:w="8972" w:type="dxa"/>
            <w:tcBorders>
              <w:top w:val="single" w:sz="4" w:space="0" w:color="auto"/>
              <w:left w:val="single" w:sz="4" w:space="0" w:color="auto"/>
              <w:bottom w:val="single" w:sz="4" w:space="0" w:color="auto"/>
              <w:right w:val="single" w:sz="4" w:space="0" w:color="auto"/>
            </w:tcBorders>
            <w:vAlign w:val="center"/>
            <w:hideMark/>
          </w:tcPr>
          <w:p w:rsidR="00F56CD8" w:rsidRPr="00FC6D57" w:rsidRDefault="00BB454F" w:rsidP="009C13EE">
            <w:pPr>
              <w:pStyle w:val="Default"/>
              <w:rPr>
                <w:sz w:val="22"/>
                <w:szCs w:val="22"/>
              </w:rPr>
            </w:pPr>
            <w:r w:rsidRPr="00BB454F">
              <w:rPr>
                <w:sz w:val="22"/>
                <w:szCs w:val="22"/>
              </w:rPr>
              <w:t>Шприц для введения рентгенконтрастных веществ и физиологического раствора, для К</w:t>
            </w:r>
            <w:r w:rsidR="00E035FB">
              <w:rPr>
                <w:sz w:val="22"/>
                <w:szCs w:val="22"/>
              </w:rPr>
              <w:t xml:space="preserve">омпьютерного </w:t>
            </w:r>
            <w:r w:rsidR="009C5397">
              <w:rPr>
                <w:sz w:val="22"/>
                <w:szCs w:val="22"/>
              </w:rPr>
              <w:t>то</w:t>
            </w:r>
            <w:r w:rsidR="00E035FB">
              <w:rPr>
                <w:sz w:val="22"/>
                <w:szCs w:val="22"/>
              </w:rPr>
              <w:t>мографа</w:t>
            </w:r>
            <w:r w:rsidRPr="00BB454F">
              <w:rPr>
                <w:sz w:val="22"/>
                <w:szCs w:val="22"/>
              </w:rPr>
              <w:t xml:space="preserve"> Revolution EVA.</w:t>
            </w:r>
          </w:p>
        </w:tc>
      </w:tr>
      <w:tr w:rsidR="00F56CD8" w:rsidTr="00FB3597">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F56CD8" w:rsidRDefault="00F56CD8">
            <w:pPr>
              <w:rPr>
                <w:b/>
                <w:bCs/>
                <w:lang w:eastAsia="en-US"/>
              </w:rPr>
            </w:pPr>
            <w:r>
              <w:rPr>
                <w:b/>
                <w:bCs/>
                <w:lang w:eastAsia="en-US"/>
              </w:rPr>
              <w:t>11</w:t>
            </w:r>
          </w:p>
        </w:tc>
        <w:tc>
          <w:tcPr>
            <w:tcW w:w="4857" w:type="dxa"/>
            <w:tcBorders>
              <w:top w:val="single" w:sz="4" w:space="0" w:color="auto"/>
              <w:left w:val="single" w:sz="4" w:space="0" w:color="auto"/>
              <w:bottom w:val="single" w:sz="4" w:space="0" w:color="auto"/>
              <w:right w:val="single" w:sz="4" w:space="0" w:color="auto"/>
            </w:tcBorders>
            <w:hideMark/>
          </w:tcPr>
          <w:p w:rsidR="00F56CD8" w:rsidRPr="00DC1822" w:rsidRDefault="00E035FB" w:rsidP="003E7FA6">
            <w:pPr>
              <w:autoSpaceDE w:val="0"/>
              <w:autoSpaceDN w:val="0"/>
              <w:adjustRightInd w:val="0"/>
              <w:rPr>
                <w:rFonts w:eastAsiaTheme="minorHAnsi"/>
                <w:color w:val="000000"/>
                <w:lang w:eastAsia="en-US"/>
              </w:rPr>
            </w:pPr>
            <w:r>
              <w:rPr>
                <w:rFonts w:eastAsiaTheme="minorHAnsi"/>
                <w:color w:val="000000"/>
                <w:lang w:eastAsia="en-US"/>
              </w:rPr>
              <w:t xml:space="preserve">                                                                                    </w:t>
            </w:r>
            <w:r w:rsidR="00F56CD8" w:rsidRPr="00DC1822">
              <w:rPr>
                <w:rFonts w:eastAsiaTheme="minorHAnsi"/>
                <w:color w:val="000000"/>
                <w:lang w:eastAsia="en-US"/>
              </w:rPr>
              <w:t>Марля медицинская  в рулонах</w:t>
            </w:r>
          </w:p>
        </w:tc>
        <w:tc>
          <w:tcPr>
            <w:tcW w:w="8972" w:type="dxa"/>
            <w:tcBorders>
              <w:top w:val="single" w:sz="4" w:space="0" w:color="auto"/>
              <w:left w:val="single" w:sz="4" w:space="0" w:color="auto"/>
              <w:bottom w:val="single" w:sz="4" w:space="0" w:color="auto"/>
              <w:right w:val="single" w:sz="4" w:space="0" w:color="auto"/>
            </w:tcBorders>
            <w:vAlign w:val="center"/>
            <w:hideMark/>
          </w:tcPr>
          <w:p w:rsidR="00F56CD8" w:rsidRPr="00723E07" w:rsidRDefault="00D366A3" w:rsidP="009C13EE">
            <w:pPr>
              <w:pStyle w:val="Default"/>
              <w:rPr>
                <w:sz w:val="22"/>
                <w:szCs w:val="22"/>
              </w:rPr>
            </w:pPr>
            <w:r>
              <w:t xml:space="preserve">Медицинская марля хлопчатобумажная, отбеленная, в рулонах </w:t>
            </w:r>
            <w:r w:rsidR="003B2F34">
              <w:t xml:space="preserve">не менее </w:t>
            </w:r>
            <w:r>
              <w:t>0,9*1000 м. плотность не менее 30г/м</w:t>
            </w:r>
            <w:proofErr w:type="gramStart"/>
            <w:r>
              <w:t>2</w:t>
            </w:r>
            <w:proofErr w:type="gramEnd"/>
            <w:r>
              <w:t>.</w:t>
            </w:r>
          </w:p>
        </w:tc>
      </w:tr>
      <w:tr w:rsidR="00F56CD8" w:rsidTr="00FB3597">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F56CD8" w:rsidRDefault="00F56CD8">
            <w:pPr>
              <w:rPr>
                <w:b/>
                <w:bCs/>
                <w:lang w:eastAsia="en-US"/>
              </w:rPr>
            </w:pPr>
            <w:r>
              <w:rPr>
                <w:b/>
                <w:bCs/>
                <w:lang w:eastAsia="en-US"/>
              </w:rPr>
              <w:t>12</w:t>
            </w:r>
          </w:p>
        </w:tc>
        <w:tc>
          <w:tcPr>
            <w:tcW w:w="4857" w:type="dxa"/>
            <w:tcBorders>
              <w:top w:val="single" w:sz="4" w:space="0" w:color="auto"/>
              <w:left w:val="single" w:sz="4" w:space="0" w:color="auto"/>
              <w:bottom w:val="single" w:sz="4" w:space="0" w:color="auto"/>
              <w:right w:val="single" w:sz="4" w:space="0" w:color="auto"/>
            </w:tcBorders>
            <w:hideMark/>
          </w:tcPr>
          <w:p w:rsidR="00F56CD8" w:rsidRPr="00DC1822" w:rsidRDefault="00E035FB" w:rsidP="003E7FA6">
            <w:pPr>
              <w:autoSpaceDE w:val="0"/>
              <w:autoSpaceDN w:val="0"/>
              <w:adjustRightInd w:val="0"/>
              <w:rPr>
                <w:rFonts w:eastAsiaTheme="minorHAnsi"/>
                <w:color w:val="000000"/>
                <w:lang w:eastAsia="en-US"/>
              </w:rPr>
            </w:pPr>
            <w:r>
              <w:rPr>
                <w:rFonts w:eastAsiaTheme="minorHAnsi"/>
                <w:color w:val="000000"/>
                <w:lang w:eastAsia="en-US"/>
              </w:rPr>
              <w:t xml:space="preserve">                                                                      </w:t>
            </w:r>
            <w:r w:rsidR="00F56CD8" w:rsidRPr="00DC1822">
              <w:rPr>
                <w:rFonts w:eastAsiaTheme="minorHAnsi"/>
                <w:color w:val="000000"/>
                <w:lang w:eastAsia="en-US"/>
              </w:rPr>
              <w:t>Межпозвоночный кейдж</w:t>
            </w:r>
          </w:p>
        </w:tc>
        <w:tc>
          <w:tcPr>
            <w:tcW w:w="8972" w:type="dxa"/>
            <w:tcBorders>
              <w:top w:val="single" w:sz="4" w:space="0" w:color="auto"/>
              <w:left w:val="single" w:sz="4" w:space="0" w:color="auto"/>
              <w:bottom w:val="single" w:sz="4" w:space="0" w:color="auto"/>
              <w:right w:val="single" w:sz="4" w:space="0" w:color="auto"/>
            </w:tcBorders>
            <w:vAlign w:val="center"/>
            <w:hideMark/>
          </w:tcPr>
          <w:p w:rsidR="002001D1" w:rsidRPr="002001D1" w:rsidRDefault="002001D1" w:rsidP="002001D1">
            <w:pPr>
              <w:pStyle w:val="Default"/>
              <w:rPr>
                <w:sz w:val="22"/>
                <w:szCs w:val="22"/>
              </w:rPr>
            </w:pPr>
            <w:r w:rsidRPr="002001D1">
              <w:rPr>
                <w:sz w:val="22"/>
                <w:szCs w:val="22"/>
              </w:rPr>
              <w:t>Кейдж длиной 20, 25 мм, высотой 9, 10, 11, 12, 13, 14, 15, 16, 17, 18 мм, угол лордоза 0, 4, 7 градусов</w:t>
            </w:r>
            <w:r>
              <w:rPr>
                <w:sz w:val="22"/>
                <w:szCs w:val="22"/>
              </w:rPr>
              <w:t xml:space="preserve">. </w:t>
            </w:r>
            <w:proofErr w:type="gramStart"/>
            <w:r w:rsidRPr="002001D1">
              <w:rPr>
                <w:sz w:val="22"/>
                <w:szCs w:val="22"/>
              </w:rPr>
              <w:t>Межпозвоночные кейджи, предназначены для имплантации из заднего доступа материал PEEK (Polieteroeteroketon);</w:t>
            </w:r>
            <w:proofErr w:type="gramEnd"/>
          </w:p>
          <w:p w:rsidR="002001D1" w:rsidRPr="002001D1" w:rsidRDefault="002001D1" w:rsidP="002001D1">
            <w:pPr>
              <w:pStyle w:val="Default"/>
              <w:rPr>
                <w:sz w:val="22"/>
                <w:szCs w:val="22"/>
              </w:rPr>
            </w:pPr>
            <w:r w:rsidRPr="002001D1">
              <w:rPr>
                <w:sz w:val="22"/>
                <w:szCs w:val="22"/>
              </w:rPr>
              <w:t>- материал PEEK (Polieteroeteroketon) безопасен и совместим с процедурами МРТ;</w:t>
            </w:r>
          </w:p>
          <w:p w:rsidR="002001D1" w:rsidRPr="002001D1" w:rsidRDefault="002001D1" w:rsidP="002001D1">
            <w:pPr>
              <w:pStyle w:val="Default"/>
              <w:rPr>
                <w:sz w:val="22"/>
                <w:szCs w:val="22"/>
              </w:rPr>
            </w:pPr>
            <w:r w:rsidRPr="002001D1">
              <w:rPr>
                <w:sz w:val="22"/>
                <w:szCs w:val="22"/>
              </w:rPr>
              <w:t>- зазубреная поверхность контакта кейджа с пластинками тела позвонка;</w:t>
            </w:r>
          </w:p>
          <w:p w:rsidR="002001D1" w:rsidRPr="002001D1" w:rsidRDefault="002001D1" w:rsidP="002001D1">
            <w:pPr>
              <w:pStyle w:val="Default"/>
              <w:rPr>
                <w:sz w:val="22"/>
                <w:szCs w:val="22"/>
              </w:rPr>
            </w:pPr>
            <w:r w:rsidRPr="002001D1">
              <w:rPr>
                <w:sz w:val="22"/>
                <w:szCs w:val="22"/>
              </w:rPr>
              <w:t>- форма кейджей в сагиттальной плоскости позволяет воспроизводить поясничный лордоз по меньшей мере в трёх угловых положениях (0°, 4°, 7°);</w:t>
            </w:r>
          </w:p>
          <w:p w:rsidR="002001D1" w:rsidRPr="002001D1" w:rsidRDefault="002001D1" w:rsidP="002001D1">
            <w:pPr>
              <w:pStyle w:val="Default"/>
              <w:rPr>
                <w:sz w:val="22"/>
                <w:szCs w:val="22"/>
              </w:rPr>
            </w:pPr>
            <w:r w:rsidRPr="002001D1">
              <w:rPr>
                <w:sz w:val="22"/>
                <w:szCs w:val="22"/>
              </w:rPr>
              <w:t>- доступна специальная версия с анатомической формой (овальная форма имплантата для полного контакта с пластинками тела позвонка);</w:t>
            </w:r>
          </w:p>
          <w:p w:rsidR="002001D1" w:rsidRPr="002001D1" w:rsidRDefault="002001D1" w:rsidP="002001D1">
            <w:pPr>
              <w:pStyle w:val="Default"/>
              <w:rPr>
                <w:sz w:val="22"/>
                <w:szCs w:val="22"/>
              </w:rPr>
            </w:pPr>
            <w:r w:rsidRPr="002001D1">
              <w:rPr>
                <w:sz w:val="22"/>
                <w:szCs w:val="22"/>
              </w:rPr>
              <w:t>- закруглённая, атравмотическая форма углов кейджа в поперечном разрезе, это даёт возможность имплантации близко края в пределах межпозвонкового пространства;</w:t>
            </w:r>
          </w:p>
          <w:p w:rsidR="002001D1" w:rsidRPr="002001D1" w:rsidRDefault="002001D1" w:rsidP="002001D1">
            <w:pPr>
              <w:pStyle w:val="Default"/>
              <w:rPr>
                <w:sz w:val="22"/>
                <w:szCs w:val="22"/>
              </w:rPr>
            </w:pPr>
            <w:r w:rsidRPr="002001D1">
              <w:rPr>
                <w:sz w:val="22"/>
                <w:szCs w:val="22"/>
              </w:rPr>
              <w:t>- закруглённая, напоминающая форму пули передняя часть кейджа облегчает имплантацию и позволяет разместить имплантат без начальной дистракции;</w:t>
            </w:r>
          </w:p>
          <w:p w:rsidR="002001D1" w:rsidRPr="002001D1" w:rsidRDefault="002001D1" w:rsidP="002001D1">
            <w:pPr>
              <w:pStyle w:val="Default"/>
              <w:rPr>
                <w:sz w:val="22"/>
                <w:szCs w:val="22"/>
              </w:rPr>
            </w:pPr>
            <w:r w:rsidRPr="002001D1">
              <w:rPr>
                <w:sz w:val="22"/>
                <w:szCs w:val="22"/>
              </w:rPr>
              <w:t>- большой, продольный канал на оси имплантата даёт возможность заполнения костной стружкой;</w:t>
            </w:r>
          </w:p>
          <w:p w:rsidR="002001D1" w:rsidRPr="002001D1" w:rsidRDefault="002001D1" w:rsidP="002001D1">
            <w:pPr>
              <w:pStyle w:val="Default"/>
              <w:rPr>
                <w:sz w:val="22"/>
                <w:szCs w:val="22"/>
              </w:rPr>
            </w:pPr>
            <w:r w:rsidRPr="002001D1">
              <w:rPr>
                <w:sz w:val="22"/>
                <w:szCs w:val="22"/>
              </w:rPr>
              <w:t xml:space="preserve">- боковые отверстия, которые дают возможность гипертрофии костной ткани; </w:t>
            </w:r>
          </w:p>
          <w:p w:rsidR="002001D1" w:rsidRPr="002001D1" w:rsidRDefault="002001D1" w:rsidP="002001D1">
            <w:pPr>
              <w:pStyle w:val="Default"/>
              <w:rPr>
                <w:sz w:val="22"/>
                <w:szCs w:val="22"/>
              </w:rPr>
            </w:pPr>
            <w:r w:rsidRPr="002001D1">
              <w:rPr>
                <w:sz w:val="22"/>
                <w:szCs w:val="22"/>
              </w:rPr>
              <w:t>- доступны две длины имплантатов: 20 и 25 мм;</w:t>
            </w:r>
          </w:p>
          <w:p w:rsidR="002001D1" w:rsidRPr="002001D1" w:rsidRDefault="002001D1" w:rsidP="002001D1">
            <w:pPr>
              <w:pStyle w:val="Default"/>
              <w:rPr>
                <w:sz w:val="22"/>
                <w:szCs w:val="22"/>
              </w:rPr>
            </w:pPr>
            <w:r w:rsidRPr="002001D1">
              <w:rPr>
                <w:sz w:val="22"/>
                <w:szCs w:val="22"/>
              </w:rPr>
              <w:t>- высота имплантатов в диапазоне от 9 до 18 мм с шагом 1 мм;</w:t>
            </w:r>
          </w:p>
          <w:p w:rsidR="002001D1" w:rsidRPr="002001D1" w:rsidRDefault="002001D1" w:rsidP="002001D1">
            <w:pPr>
              <w:pStyle w:val="Default"/>
              <w:rPr>
                <w:sz w:val="22"/>
                <w:szCs w:val="22"/>
              </w:rPr>
            </w:pPr>
            <w:r w:rsidRPr="002001D1">
              <w:rPr>
                <w:sz w:val="22"/>
                <w:szCs w:val="22"/>
              </w:rPr>
              <w:t>- имплантат снабжен тремя рентген-негативными интегрированными танталовыми радиологическими маркерами для чёткой проверки положения имплантата;</w:t>
            </w:r>
          </w:p>
          <w:p w:rsidR="002001D1" w:rsidRPr="002001D1" w:rsidRDefault="002001D1" w:rsidP="002001D1">
            <w:pPr>
              <w:pStyle w:val="Default"/>
              <w:rPr>
                <w:sz w:val="22"/>
                <w:szCs w:val="22"/>
              </w:rPr>
            </w:pPr>
            <w:r w:rsidRPr="002001D1">
              <w:rPr>
                <w:sz w:val="22"/>
                <w:szCs w:val="22"/>
              </w:rPr>
              <w:t>- имплантаты имеют перманентную маркировку;</w:t>
            </w:r>
          </w:p>
          <w:p w:rsidR="00F56CD8" w:rsidRPr="000A2974" w:rsidRDefault="002001D1" w:rsidP="002001D1">
            <w:pPr>
              <w:pStyle w:val="Default"/>
              <w:rPr>
                <w:sz w:val="22"/>
                <w:szCs w:val="22"/>
              </w:rPr>
            </w:pPr>
            <w:r w:rsidRPr="002001D1">
              <w:rPr>
                <w:sz w:val="22"/>
                <w:szCs w:val="22"/>
              </w:rPr>
              <w:t>- кейджи предлагаются в стерильном и нестерильном виде;</w:t>
            </w:r>
          </w:p>
        </w:tc>
      </w:tr>
      <w:tr w:rsidR="00F56CD8" w:rsidTr="00FB3597">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F56CD8" w:rsidRDefault="00F56CD8">
            <w:pPr>
              <w:rPr>
                <w:b/>
                <w:bCs/>
                <w:lang w:eastAsia="en-US"/>
              </w:rPr>
            </w:pPr>
            <w:r>
              <w:rPr>
                <w:b/>
                <w:bCs/>
                <w:lang w:eastAsia="en-US"/>
              </w:rPr>
              <w:lastRenderedPageBreak/>
              <w:t>13</w:t>
            </w:r>
          </w:p>
        </w:tc>
        <w:tc>
          <w:tcPr>
            <w:tcW w:w="4857" w:type="dxa"/>
            <w:tcBorders>
              <w:top w:val="single" w:sz="4" w:space="0" w:color="auto"/>
              <w:left w:val="single" w:sz="4" w:space="0" w:color="auto"/>
              <w:bottom w:val="single" w:sz="4" w:space="0" w:color="auto"/>
              <w:right w:val="single" w:sz="4" w:space="0" w:color="auto"/>
            </w:tcBorders>
            <w:hideMark/>
          </w:tcPr>
          <w:p w:rsidR="00F56CD8" w:rsidRPr="00DC1822" w:rsidRDefault="00F56CD8" w:rsidP="003E7FA6">
            <w:pPr>
              <w:autoSpaceDE w:val="0"/>
              <w:autoSpaceDN w:val="0"/>
              <w:adjustRightInd w:val="0"/>
              <w:rPr>
                <w:rFonts w:eastAsiaTheme="minorHAnsi"/>
                <w:color w:val="000000"/>
                <w:lang w:eastAsia="en-US"/>
              </w:rPr>
            </w:pPr>
            <w:r w:rsidRPr="00DC1822">
              <w:rPr>
                <w:rFonts w:eastAsiaTheme="minorHAnsi"/>
                <w:color w:val="000000"/>
                <w:lang w:eastAsia="en-US"/>
              </w:rPr>
              <w:t>Набор для мониторинга ВЧД паренхиматозного туннелирования</w:t>
            </w:r>
          </w:p>
        </w:tc>
        <w:tc>
          <w:tcPr>
            <w:tcW w:w="8972" w:type="dxa"/>
            <w:tcBorders>
              <w:top w:val="single" w:sz="4" w:space="0" w:color="auto"/>
              <w:left w:val="single" w:sz="4" w:space="0" w:color="auto"/>
              <w:bottom w:val="single" w:sz="4" w:space="0" w:color="auto"/>
              <w:right w:val="single" w:sz="4" w:space="0" w:color="auto"/>
            </w:tcBorders>
            <w:vAlign w:val="center"/>
            <w:hideMark/>
          </w:tcPr>
          <w:p w:rsidR="002001D1" w:rsidRPr="002001D1" w:rsidRDefault="002001D1" w:rsidP="002001D1">
            <w:pPr>
              <w:pStyle w:val="Default"/>
              <w:rPr>
                <w:sz w:val="22"/>
                <w:szCs w:val="22"/>
              </w:rPr>
            </w:pPr>
            <w:r w:rsidRPr="002001D1">
              <w:rPr>
                <w:sz w:val="22"/>
                <w:szCs w:val="22"/>
              </w:rPr>
              <w:t>Паренхиматозный датчик измерения внутричерепного давления (ВЧД)</w:t>
            </w:r>
            <w:r>
              <w:t xml:space="preserve"> </w:t>
            </w:r>
            <w:r w:rsidRPr="002001D1">
              <w:rPr>
                <w:sz w:val="22"/>
                <w:szCs w:val="22"/>
              </w:rPr>
              <w:t>Назначение: измерение внутричерепного давления с помощью полупроводникового микрочипа в паренхиме. Катетер 5F; длина 55 см (от наконечника к разъему) по сантиметровой шкале; материал катетера: полиуретан, материал корпуса: титан.</w:t>
            </w:r>
          </w:p>
          <w:p w:rsidR="00F56CD8" w:rsidRPr="000A2974" w:rsidRDefault="002001D1" w:rsidP="002001D1">
            <w:pPr>
              <w:pStyle w:val="Default"/>
              <w:rPr>
                <w:sz w:val="22"/>
                <w:szCs w:val="22"/>
              </w:rPr>
            </w:pPr>
            <w:r w:rsidRPr="002001D1">
              <w:rPr>
                <w:sz w:val="22"/>
                <w:szCs w:val="22"/>
              </w:rPr>
              <w:t>В комплекте с набором для туннелирования: одинарный стерильный упакованный сращиваемый туннельный рукав CH8 (2,64) или CH12 (3,96) с троакаром</w:t>
            </w:r>
          </w:p>
        </w:tc>
      </w:tr>
      <w:tr w:rsidR="00F56CD8" w:rsidTr="00FB3597">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F56CD8" w:rsidRDefault="00F56CD8">
            <w:pPr>
              <w:rPr>
                <w:b/>
                <w:bCs/>
                <w:lang w:eastAsia="en-US"/>
              </w:rPr>
            </w:pPr>
            <w:r>
              <w:rPr>
                <w:b/>
                <w:bCs/>
                <w:lang w:eastAsia="en-US"/>
              </w:rPr>
              <w:t>14</w:t>
            </w:r>
          </w:p>
        </w:tc>
        <w:tc>
          <w:tcPr>
            <w:tcW w:w="4857" w:type="dxa"/>
            <w:tcBorders>
              <w:top w:val="single" w:sz="4" w:space="0" w:color="auto"/>
              <w:left w:val="single" w:sz="4" w:space="0" w:color="auto"/>
              <w:bottom w:val="single" w:sz="4" w:space="0" w:color="auto"/>
              <w:right w:val="single" w:sz="4" w:space="0" w:color="auto"/>
            </w:tcBorders>
            <w:hideMark/>
          </w:tcPr>
          <w:p w:rsidR="00F56CD8" w:rsidRPr="00DC1822" w:rsidRDefault="00F56CD8" w:rsidP="003E7FA6">
            <w:pPr>
              <w:autoSpaceDE w:val="0"/>
              <w:autoSpaceDN w:val="0"/>
              <w:adjustRightInd w:val="0"/>
              <w:rPr>
                <w:rFonts w:eastAsiaTheme="minorHAnsi"/>
                <w:color w:val="000000"/>
                <w:lang w:eastAsia="en-US"/>
              </w:rPr>
            </w:pPr>
            <w:r w:rsidRPr="00DC1822">
              <w:rPr>
                <w:rFonts w:eastAsiaTheme="minorHAnsi"/>
                <w:color w:val="000000"/>
                <w:lang w:eastAsia="en-US"/>
              </w:rPr>
              <w:t>Набор для мониторинга ВЧД вентрикулярного туннелирования</w:t>
            </w:r>
          </w:p>
        </w:tc>
        <w:tc>
          <w:tcPr>
            <w:tcW w:w="8972" w:type="dxa"/>
            <w:tcBorders>
              <w:top w:val="single" w:sz="4" w:space="0" w:color="auto"/>
              <w:left w:val="single" w:sz="4" w:space="0" w:color="auto"/>
              <w:bottom w:val="single" w:sz="4" w:space="0" w:color="auto"/>
              <w:right w:val="single" w:sz="4" w:space="0" w:color="auto"/>
            </w:tcBorders>
            <w:vAlign w:val="center"/>
            <w:hideMark/>
          </w:tcPr>
          <w:p w:rsidR="002001D1" w:rsidRPr="002001D1" w:rsidRDefault="002001D1" w:rsidP="002001D1">
            <w:pPr>
              <w:pStyle w:val="Default"/>
              <w:rPr>
                <w:sz w:val="22"/>
                <w:szCs w:val="22"/>
              </w:rPr>
            </w:pPr>
            <w:r w:rsidRPr="002001D1">
              <w:rPr>
                <w:sz w:val="22"/>
                <w:szCs w:val="22"/>
              </w:rPr>
              <w:t>Вентрикулярный датчик внутричерепного давления (ВЧД)Назначение: измерение ВЧД в желудочках с помощью микрочипа с возможностью одновременного дренирования спинномозговой жидкости. Катетер 9F, длина 38 см (кончик к коннектору), сантиметровая шкала, дренаж. Датчик давления расположен на 3 мм проксимальнее кончика катетера; аппликация с внешним стилетом; материал катетера: полиуретан, материал корпуса: титан.</w:t>
            </w:r>
          </w:p>
          <w:p w:rsidR="00F56CD8" w:rsidRPr="000A2974" w:rsidRDefault="002001D1" w:rsidP="002001D1">
            <w:pPr>
              <w:pStyle w:val="Default"/>
              <w:rPr>
                <w:sz w:val="22"/>
                <w:szCs w:val="22"/>
              </w:rPr>
            </w:pPr>
            <w:r w:rsidRPr="002001D1">
              <w:rPr>
                <w:sz w:val="22"/>
                <w:szCs w:val="22"/>
              </w:rPr>
              <w:t>В комплекте с набором для туннелирования: одинарный стерильный упакованный сращиваемый туннельный рукав CH8 (2,64) или CH12 (3,96) с троакаром</w:t>
            </w:r>
          </w:p>
        </w:tc>
      </w:tr>
      <w:tr w:rsidR="00F56CD8" w:rsidTr="00FB3597">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F56CD8" w:rsidRDefault="00F56CD8">
            <w:pPr>
              <w:rPr>
                <w:b/>
                <w:bCs/>
                <w:lang w:eastAsia="en-US"/>
              </w:rPr>
            </w:pPr>
            <w:r>
              <w:rPr>
                <w:b/>
                <w:bCs/>
                <w:lang w:eastAsia="en-US"/>
              </w:rPr>
              <w:t>15</w:t>
            </w:r>
          </w:p>
        </w:tc>
        <w:tc>
          <w:tcPr>
            <w:tcW w:w="4857" w:type="dxa"/>
            <w:tcBorders>
              <w:top w:val="single" w:sz="4" w:space="0" w:color="auto"/>
              <w:left w:val="single" w:sz="4" w:space="0" w:color="auto"/>
              <w:bottom w:val="single" w:sz="4" w:space="0" w:color="auto"/>
              <w:right w:val="single" w:sz="4" w:space="0" w:color="auto"/>
            </w:tcBorders>
            <w:hideMark/>
          </w:tcPr>
          <w:p w:rsidR="00DA02A1" w:rsidRDefault="00E035FB" w:rsidP="003E7FA6">
            <w:pPr>
              <w:autoSpaceDE w:val="0"/>
              <w:autoSpaceDN w:val="0"/>
              <w:adjustRightInd w:val="0"/>
              <w:rPr>
                <w:rFonts w:eastAsiaTheme="minorHAnsi"/>
                <w:color w:val="000000"/>
                <w:lang w:eastAsia="en-US"/>
              </w:rPr>
            </w:pPr>
            <w:r>
              <w:rPr>
                <w:rFonts w:eastAsiaTheme="minorHAnsi"/>
                <w:color w:val="000000"/>
                <w:lang w:eastAsia="en-US"/>
              </w:rPr>
              <w:t xml:space="preserve">                                                                                           </w:t>
            </w:r>
            <w:r w:rsidR="00F56CD8" w:rsidRPr="00DC1822">
              <w:rPr>
                <w:rFonts w:eastAsiaTheme="minorHAnsi"/>
                <w:color w:val="000000"/>
                <w:lang w:eastAsia="en-US"/>
              </w:rPr>
              <w:t xml:space="preserve">Клей хирургический биологический </w:t>
            </w:r>
          </w:p>
          <w:p w:rsidR="00DA02A1" w:rsidRDefault="00DA02A1" w:rsidP="00DA02A1">
            <w:pPr>
              <w:rPr>
                <w:rFonts w:eastAsiaTheme="minorHAnsi"/>
                <w:lang w:eastAsia="en-US"/>
              </w:rPr>
            </w:pPr>
          </w:p>
          <w:p w:rsidR="00F56CD8" w:rsidRPr="00DA02A1" w:rsidRDefault="00F56CD8" w:rsidP="00DA02A1">
            <w:pPr>
              <w:jc w:val="center"/>
              <w:rPr>
                <w:rFonts w:eastAsiaTheme="minorHAnsi"/>
                <w:lang w:eastAsia="en-US"/>
              </w:rPr>
            </w:pPr>
          </w:p>
        </w:tc>
        <w:tc>
          <w:tcPr>
            <w:tcW w:w="8972" w:type="dxa"/>
            <w:tcBorders>
              <w:top w:val="single" w:sz="4" w:space="0" w:color="auto"/>
              <w:left w:val="single" w:sz="4" w:space="0" w:color="auto"/>
              <w:bottom w:val="single" w:sz="4" w:space="0" w:color="auto"/>
              <w:right w:val="single" w:sz="4" w:space="0" w:color="auto"/>
            </w:tcBorders>
            <w:vAlign w:val="center"/>
            <w:hideMark/>
          </w:tcPr>
          <w:p w:rsidR="00DA02A1" w:rsidRPr="00DA02A1" w:rsidRDefault="00DA02A1" w:rsidP="00DA02A1">
            <w:r>
              <w:t xml:space="preserve">                                                                                                                                               </w:t>
            </w:r>
            <w:r w:rsidRPr="00DA02A1">
              <w:t xml:space="preserve">Двухкомпонентный хирургический клей, предназначенный для укрепления сосудистых анастомозов и хирургических швов. </w:t>
            </w:r>
          </w:p>
          <w:p w:rsidR="00DA02A1" w:rsidRPr="00DA02A1" w:rsidRDefault="00DA02A1" w:rsidP="00DA02A1">
            <w:r w:rsidRPr="00DA02A1">
              <w:t>Одноразовый сдвоенный стерильный шприц, заполненный готовым к применению составом: водные растворы бычьего сывороточного альбумина и глютеральдегида.</w:t>
            </w:r>
          </w:p>
          <w:p w:rsidR="00DA02A1" w:rsidRPr="00DA02A1" w:rsidRDefault="00DA02A1" w:rsidP="00DA02A1">
            <w:r w:rsidRPr="00DA02A1">
              <w:t>В комплект входит шприц 5 мл с 4-мя стандартными аппликаторами – 1 шт.</w:t>
            </w:r>
          </w:p>
          <w:p w:rsidR="00DA02A1" w:rsidRPr="00DA02A1" w:rsidRDefault="00DA02A1" w:rsidP="00DA02A1">
            <w:r w:rsidRPr="00DA02A1">
              <w:t>Смешивание происходит непосредственно в аппликаторе, в стерильных условиях</w:t>
            </w:r>
          </w:p>
          <w:p w:rsidR="00DA02A1" w:rsidRPr="00DA02A1" w:rsidRDefault="00DA02A1" w:rsidP="00DA02A1">
            <w:r w:rsidRPr="00DA02A1">
              <w:t>Биологическая инертность, апирогенность, отсутствие реакции организма на применение</w:t>
            </w:r>
          </w:p>
          <w:p w:rsidR="00DA02A1" w:rsidRPr="00DA02A1" w:rsidRDefault="00DA02A1" w:rsidP="00DA02A1">
            <w:r w:rsidRPr="00DA02A1">
              <w:t>Полимеризация в течение 20-30 секунд, возможность оказания любого давления на область применения через</w:t>
            </w:r>
            <w:r>
              <w:t xml:space="preserve"> </w:t>
            </w:r>
            <w:r w:rsidRPr="00DA02A1">
              <w:t>2 минуты.</w:t>
            </w:r>
          </w:p>
          <w:p w:rsidR="00F56CD8" w:rsidRPr="00EF670C" w:rsidRDefault="00F56CD8" w:rsidP="00DA02A1">
            <w:pPr>
              <w:pStyle w:val="Default"/>
              <w:jc w:val="both"/>
              <w:rPr>
                <w:sz w:val="22"/>
                <w:szCs w:val="22"/>
              </w:rPr>
            </w:pPr>
          </w:p>
        </w:tc>
      </w:tr>
      <w:tr w:rsidR="00F56CD8" w:rsidTr="00FB3597">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F56CD8" w:rsidRDefault="00F56CD8">
            <w:pPr>
              <w:rPr>
                <w:b/>
                <w:bCs/>
                <w:lang w:eastAsia="en-US"/>
              </w:rPr>
            </w:pPr>
            <w:r>
              <w:rPr>
                <w:b/>
                <w:bCs/>
                <w:lang w:eastAsia="en-US"/>
              </w:rPr>
              <w:t>16</w:t>
            </w:r>
          </w:p>
        </w:tc>
        <w:tc>
          <w:tcPr>
            <w:tcW w:w="4857" w:type="dxa"/>
            <w:tcBorders>
              <w:top w:val="single" w:sz="4" w:space="0" w:color="auto"/>
              <w:left w:val="single" w:sz="4" w:space="0" w:color="auto"/>
              <w:bottom w:val="single" w:sz="4" w:space="0" w:color="auto"/>
              <w:right w:val="single" w:sz="4" w:space="0" w:color="auto"/>
            </w:tcBorders>
            <w:hideMark/>
          </w:tcPr>
          <w:p w:rsidR="00F56CD8" w:rsidRPr="00DC1822" w:rsidRDefault="00E035FB" w:rsidP="003E7FA6">
            <w:pPr>
              <w:autoSpaceDE w:val="0"/>
              <w:autoSpaceDN w:val="0"/>
              <w:adjustRightInd w:val="0"/>
              <w:rPr>
                <w:rFonts w:eastAsiaTheme="minorHAnsi"/>
                <w:color w:val="000000"/>
                <w:lang w:eastAsia="en-US"/>
              </w:rPr>
            </w:pPr>
            <w:r>
              <w:rPr>
                <w:rFonts w:eastAsiaTheme="minorHAnsi"/>
                <w:color w:val="000000"/>
                <w:lang w:eastAsia="en-US"/>
              </w:rPr>
              <w:t xml:space="preserve">                                                                      </w:t>
            </w:r>
            <w:r w:rsidR="00F56CD8" w:rsidRPr="00DC1822">
              <w:rPr>
                <w:rFonts w:eastAsiaTheme="minorHAnsi"/>
                <w:color w:val="000000"/>
                <w:lang w:eastAsia="en-US"/>
              </w:rPr>
              <w:t>Стерилизующий агент</w:t>
            </w:r>
          </w:p>
        </w:tc>
        <w:tc>
          <w:tcPr>
            <w:tcW w:w="8972" w:type="dxa"/>
            <w:tcBorders>
              <w:top w:val="single" w:sz="4" w:space="0" w:color="auto"/>
              <w:left w:val="single" w:sz="4" w:space="0" w:color="auto"/>
              <w:bottom w:val="single" w:sz="4" w:space="0" w:color="auto"/>
              <w:right w:val="single" w:sz="4" w:space="0" w:color="auto"/>
            </w:tcBorders>
            <w:vAlign w:val="center"/>
            <w:hideMark/>
          </w:tcPr>
          <w:p w:rsidR="00F56CD8" w:rsidRPr="003F0BD3" w:rsidRDefault="003F0BD3" w:rsidP="003F0BD3">
            <w:pPr>
              <w:rPr>
                <w:bCs/>
                <w:color w:val="000000"/>
              </w:rPr>
            </w:pPr>
            <w:r w:rsidRPr="003F0BD3">
              <w:rPr>
                <w:bCs/>
                <w:color w:val="000000"/>
              </w:rPr>
              <w:t xml:space="preserve">Стерилизующий </w:t>
            </w:r>
            <w:proofErr w:type="gramStart"/>
            <w:r w:rsidRPr="003F0BD3">
              <w:rPr>
                <w:bCs/>
                <w:color w:val="000000"/>
              </w:rPr>
              <w:t>агент</w:t>
            </w:r>
            <w:proofErr w:type="gramEnd"/>
            <w:r w:rsidRPr="003F0BD3">
              <w:rPr>
                <w:bCs/>
                <w:color w:val="000000"/>
              </w:rPr>
              <w:t xml:space="preserve"> специально предназначенный </w:t>
            </w:r>
            <w:r w:rsidRPr="003F0BD3">
              <w:rPr>
                <w:bCs/>
                <w:color w:val="2C2D2E"/>
                <w:shd w:val="clear" w:color="auto" w:fill="FFFFFF"/>
              </w:rPr>
              <w:t xml:space="preserve">для </w:t>
            </w:r>
            <w:r w:rsidRPr="003F0BD3">
              <w:rPr>
                <w:bCs/>
                <w:color w:val="000000"/>
              </w:rPr>
              <w:t xml:space="preserve">низкотемпературного плазменного стерилизатора  </w:t>
            </w:r>
            <w:r w:rsidRPr="003F0BD3">
              <w:rPr>
                <w:bCs/>
                <w:color w:val="000000"/>
                <w:lang w:val="en-US"/>
              </w:rPr>
              <w:t>H</w:t>
            </w:r>
            <w:r w:rsidRPr="003F0BD3">
              <w:rPr>
                <w:bCs/>
                <w:color w:val="000000"/>
              </w:rPr>
              <w:t>2</w:t>
            </w:r>
            <w:r w:rsidRPr="003F0BD3">
              <w:rPr>
                <w:bCs/>
                <w:color w:val="000000"/>
                <w:lang w:val="en-US"/>
              </w:rPr>
              <w:t>O</w:t>
            </w:r>
            <w:r w:rsidRPr="003F0BD3">
              <w:rPr>
                <w:bCs/>
                <w:color w:val="000000"/>
              </w:rPr>
              <w:t xml:space="preserve">2 zeronitecpure 120 и </w:t>
            </w:r>
            <w:r w:rsidRPr="003F0BD3">
              <w:rPr>
                <w:bCs/>
                <w:color w:val="2C2D2E"/>
                <w:shd w:val="clear" w:color="auto" w:fill="FFFFFF"/>
              </w:rPr>
              <w:t>должно быть совместимо</w:t>
            </w:r>
            <w:r>
              <w:rPr>
                <w:bCs/>
                <w:color w:val="2C2D2E"/>
                <w:shd w:val="clear" w:color="auto" w:fill="FFFFFF"/>
              </w:rPr>
              <w:t xml:space="preserve"> </w:t>
            </w:r>
            <w:r w:rsidRPr="003F0BD3">
              <w:rPr>
                <w:bCs/>
                <w:color w:val="2C2D2E"/>
                <w:shd w:val="clear" w:color="auto" w:fill="FFFFFF"/>
              </w:rPr>
              <w:t xml:space="preserve">для </w:t>
            </w:r>
            <w:r w:rsidRPr="003F0BD3">
              <w:rPr>
                <w:bCs/>
                <w:color w:val="000000"/>
              </w:rPr>
              <w:t xml:space="preserve">низкотемпературного плазменного стерилизатора  </w:t>
            </w:r>
            <w:r w:rsidRPr="003F0BD3">
              <w:rPr>
                <w:bCs/>
                <w:color w:val="000000"/>
                <w:lang w:val="en-US"/>
              </w:rPr>
              <w:t>H</w:t>
            </w:r>
            <w:r w:rsidRPr="003F0BD3">
              <w:rPr>
                <w:bCs/>
                <w:color w:val="000000"/>
              </w:rPr>
              <w:t>2</w:t>
            </w:r>
            <w:r w:rsidRPr="003F0BD3">
              <w:rPr>
                <w:bCs/>
                <w:color w:val="000000"/>
                <w:lang w:val="en-US"/>
              </w:rPr>
              <w:t>O</w:t>
            </w:r>
            <w:r w:rsidR="00252E1A">
              <w:rPr>
                <w:bCs/>
                <w:color w:val="000000"/>
              </w:rPr>
              <w:t>2 zeronitecpure 120.</w:t>
            </w:r>
            <w:r w:rsidRPr="003F0BD3">
              <w:rPr>
                <w:bCs/>
                <w:color w:val="000000"/>
              </w:rPr>
              <w:t xml:space="preserve"> Перекись водорода H2O2 60%, кассеты (</w:t>
            </w:r>
            <w:r w:rsidR="00252E1A">
              <w:rPr>
                <w:bCs/>
                <w:color w:val="000000"/>
              </w:rPr>
              <w:t xml:space="preserve">не менее </w:t>
            </w:r>
            <w:r w:rsidRPr="003F0BD3">
              <w:rPr>
                <w:bCs/>
                <w:color w:val="000000"/>
              </w:rPr>
              <w:t xml:space="preserve">4 цикла в кассете, </w:t>
            </w:r>
            <w:r w:rsidR="00252E1A">
              <w:rPr>
                <w:bCs/>
                <w:color w:val="000000"/>
              </w:rPr>
              <w:t>не менее 5 кассет в 1 упаковке</w:t>
            </w:r>
            <w:r w:rsidRPr="003F0BD3">
              <w:rPr>
                <w:bCs/>
                <w:color w:val="000000"/>
              </w:rPr>
              <w:t>) Перекись водорода должна быть прозрачна и бесцветна, выглядит как вода. Иметь специфический запах, негорючее вещество. Температура кипения не менее 114 градусов , температура замерзания не менее -50 градусов.</w:t>
            </w:r>
            <w:r>
              <w:rPr>
                <w:bCs/>
                <w:color w:val="000000"/>
              </w:rPr>
              <w:t xml:space="preserve"> </w:t>
            </w:r>
            <w:r w:rsidRPr="003F0BD3">
              <w:rPr>
                <w:bCs/>
                <w:color w:val="000000"/>
              </w:rPr>
              <w:t>Срок годности: 12 месяцев (2 ~ 10 ° C), 6 месяцев (10 ~ 25 ° C), 20 дней (после загрузки)</w:t>
            </w:r>
          </w:p>
        </w:tc>
      </w:tr>
      <w:tr w:rsidR="00F500E5" w:rsidTr="00FB3597">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F500E5" w:rsidRDefault="00F500E5">
            <w:pPr>
              <w:rPr>
                <w:b/>
                <w:bCs/>
                <w:lang w:eastAsia="en-US"/>
              </w:rPr>
            </w:pPr>
            <w:r>
              <w:rPr>
                <w:b/>
                <w:bCs/>
                <w:lang w:eastAsia="en-US"/>
              </w:rPr>
              <w:t>17</w:t>
            </w:r>
          </w:p>
        </w:tc>
        <w:tc>
          <w:tcPr>
            <w:tcW w:w="4857" w:type="dxa"/>
            <w:tcBorders>
              <w:top w:val="single" w:sz="4" w:space="0" w:color="auto"/>
              <w:left w:val="single" w:sz="4" w:space="0" w:color="auto"/>
              <w:bottom w:val="single" w:sz="4" w:space="0" w:color="auto"/>
              <w:right w:val="single" w:sz="4" w:space="0" w:color="auto"/>
            </w:tcBorders>
            <w:hideMark/>
          </w:tcPr>
          <w:p w:rsidR="00F500E5" w:rsidRPr="00DC1822" w:rsidRDefault="00F500E5" w:rsidP="003E7FA6">
            <w:pPr>
              <w:autoSpaceDE w:val="0"/>
              <w:autoSpaceDN w:val="0"/>
              <w:adjustRightInd w:val="0"/>
              <w:rPr>
                <w:rFonts w:eastAsiaTheme="minorHAnsi"/>
                <w:color w:val="000000"/>
                <w:lang w:eastAsia="en-US"/>
              </w:rPr>
            </w:pPr>
            <w:r w:rsidRPr="00DC1822">
              <w:rPr>
                <w:rFonts w:eastAsiaTheme="minorHAnsi"/>
                <w:color w:val="000000"/>
                <w:lang w:eastAsia="en-US"/>
              </w:rPr>
              <w:t>Стержень прямой, титановый длиной от 30 до 100 мм.</w:t>
            </w:r>
          </w:p>
        </w:tc>
        <w:tc>
          <w:tcPr>
            <w:tcW w:w="8972" w:type="dxa"/>
            <w:tcBorders>
              <w:top w:val="single" w:sz="4" w:space="0" w:color="auto"/>
              <w:left w:val="single" w:sz="4" w:space="0" w:color="auto"/>
              <w:bottom w:val="single" w:sz="4" w:space="0" w:color="auto"/>
              <w:right w:val="single" w:sz="4" w:space="0" w:color="auto"/>
            </w:tcBorders>
            <w:vAlign w:val="center"/>
            <w:hideMark/>
          </w:tcPr>
          <w:p w:rsidR="00F500E5" w:rsidRPr="00723E07" w:rsidRDefault="002001D1" w:rsidP="00276A59">
            <w:pPr>
              <w:pStyle w:val="Default"/>
              <w:rPr>
                <w:sz w:val="21"/>
                <w:szCs w:val="21"/>
              </w:rPr>
            </w:pPr>
            <w:r w:rsidRPr="002001D1">
              <w:rPr>
                <w:sz w:val="21"/>
                <w:szCs w:val="21"/>
              </w:rPr>
              <w:t xml:space="preserve">Стержень прямой, титановый.Стержень изготовлен из титанового сплава марки Ti-6Al-4V, градация V, американский стандарт ASTM F136, немецкий стандарт DIN 17850. Гладкий стержень для жесткой фиксации имеет предизогнутую по поясничному лордозу форму. Стержень не тримингуется - длинна стержня подбирается интаоперационно путем измерения </w:t>
            </w:r>
            <w:r w:rsidRPr="002001D1">
              <w:rPr>
                <w:sz w:val="21"/>
                <w:szCs w:val="21"/>
              </w:rPr>
              <w:lastRenderedPageBreak/>
              <w:t xml:space="preserve">расстояния между головками винтов с помощью специального инструментария. Стержень с одной стороны имеет конусовидный кончик длинной 10 мм для прохождения мягких тканей с минимальной их травматизацией; с другой стороны, конусовидный кончик имеет вырезку длинной 7 мм для захвата специальным инструментом в процессе введения стержня в головки винтов. - Диаметр 5.5 мм. - Длина от 30 до </w:t>
            </w:r>
            <w:r w:rsidR="00276A59">
              <w:rPr>
                <w:sz w:val="21"/>
                <w:szCs w:val="21"/>
              </w:rPr>
              <w:t>100</w:t>
            </w:r>
            <w:r w:rsidRPr="002001D1">
              <w:rPr>
                <w:sz w:val="21"/>
                <w:szCs w:val="21"/>
              </w:rPr>
              <w:t xml:space="preserve"> мм, шаг 5 мм.</w:t>
            </w:r>
          </w:p>
        </w:tc>
      </w:tr>
      <w:tr w:rsidR="00F500E5" w:rsidTr="00FB3597">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F500E5" w:rsidRDefault="00F500E5">
            <w:pPr>
              <w:rPr>
                <w:b/>
                <w:bCs/>
                <w:lang w:eastAsia="en-US"/>
              </w:rPr>
            </w:pPr>
            <w:r>
              <w:rPr>
                <w:b/>
                <w:bCs/>
                <w:lang w:eastAsia="en-US"/>
              </w:rPr>
              <w:lastRenderedPageBreak/>
              <w:t>18</w:t>
            </w:r>
          </w:p>
        </w:tc>
        <w:tc>
          <w:tcPr>
            <w:tcW w:w="4857" w:type="dxa"/>
            <w:tcBorders>
              <w:top w:val="single" w:sz="4" w:space="0" w:color="auto"/>
              <w:left w:val="single" w:sz="4" w:space="0" w:color="auto"/>
              <w:bottom w:val="single" w:sz="4" w:space="0" w:color="auto"/>
              <w:right w:val="single" w:sz="4" w:space="0" w:color="auto"/>
            </w:tcBorders>
            <w:hideMark/>
          </w:tcPr>
          <w:p w:rsidR="00F500E5" w:rsidRPr="00DC1822" w:rsidRDefault="007F7626" w:rsidP="003E7FA6">
            <w:pPr>
              <w:autoSpaceDE w:val="0"/>
              <w:autoSpaceDN w:val="0"/>
              <w:adjustRightInd w:val="0"/>
              <w:rPr>
                <w:rFonts w:eastAsiaTheme="minorHAnsi"/>
                <w:color w:val="000000"/>
                <w:lang w:eastAsia="en-US"/>
              </w:rPr>
            </w:pPr>
            <w:r>
              <w:rPr>
                <w:rFonts w:eastAsiaTheme="minorHAnsi"/>
                <w:color w:val="000000"/>
                <w:lang w:eastAsia="en-US"/>
              </w:rPr>
              <w:t xml:space="preserve">                                                                                  </w:t>
            </w:r>
            <w:r w:rsidR="00F500E5" w:rsidRPr="00DC1822">
              <w:rPr>
                <w:rFonts w:eastAsiaTheme="minorHAnsi"/>
                <w:color w:val="000000"/>
                <w:lang w:eastAsia="en-US"/>
              </w:rPr>
              <w:t xml:space="preserve">Микросферы для эмболизации </w:t>
            </w:r>
          </w:p>
        </w:tc>
        <w:tc>
          <w:tcPr>
            <w:tcW w:w="8972" w:type="dxa"/>
            <w:tcBorders>
              <w:top w:val="single" w:sz="4" w:space="0" w:color="auto"/>
              <w:left w:val="single" w:sz="4" w:space="0" w:color="auto"/>
              <w:bottom w:val="single" w:sz="4" w:space="0" w:color="auto"/>
              <w:right w:val="single" w:sz="4" w:space="0" w:color="auto"/>
            </w:tcBorders>
            <w:vAlign w:val="center"/>
            <w:hideMark/>
          </w:tcPr>
          <w:p w:rsidR="00F500E5" w:rsidRPr="00DA73C9" w:rsidRDefault="00DA73C9" w:rsidP="00DA73C9">
            <w:pPr>
              <w:pStyle w:val="Default"/>
              <w:jc w:val="both"/>
              <w:rPr>
                <w:sz w:val="22"/>
                <w:szCs w:val="22"/>
              </w:rPr>
            </w:pPr>
            <w:r w:rsidRPr="00DA73C9">
              <w:rPr>
                <w:sz w:val="22"/>
                <w:szCs w:val="22"/>
                <w:lang w:val="kk-KZ"/>
              </w:rPr>
              <w:t>Микросферы для эмболизации в шприце,2мл.</w:t>
            </w:r>
            <w:r w:rsidRPr="00DA73C9">
              <w:rPr>
                <w:sz w:val="22"/>
                <w:szCs w:val="22"/>
              </w:rPr>
              <w:t>Микросферы представляют собой биосовместимые, гидрофильные, не рассасывающиеся, точно калиброванные микросферы из акрилового полимера, пропитанные желатином. Форма выпуска: предварительно наполненный шприц вместимостью 20 мл со стандартным наконечником Люэра, индивидуально упакованный на блистерном лотке, герметически закрытом отрывающейся крышкой Tyvek®. Пластмассовый навинчивающийся колпачок и поршень. Уплотнитель поршня с тремя кольцами из эластомера.  Микросферы в составе с частицами золота окрашены красным цветом для облегчения визуализации при обращении и видимости рентгенконтрастности. Содержимое: 2 мл микросфер в стерильном апирогенном физиологическом растворе с 0,9% NaCl. Диаметр частиц 40-120, 100-300, 300-500, 500-700, 700-900, 900-1200 мкм. Микросферы представляют собой гибкие частицы, способные временно подвергаться сжатию на не более 20 – 30%, что облегчает их прохождение по микрокатетерам, и исключает нецелевую эмболизацию.  Микросферы не образуют агрегатов. Совместимы с микрокатетером с I.D. 0.008” до 0.038”. Микросферы предназначены для окклюзии кровеносных сосудов в терапевтических или предоперационных целях при следующих процедурах: - Эмболизации</w:t>
            </w:r>
            <w:r>
              <w:rPr>
                <w:sz w:val="22"/>
                <w:szCs w:val="22"/>
              </w:rPr>
              <w:t xml:space="preserve"> </w:t>
            </w:r>
            <w:r w:rsidRPr="00DA73C9">
              <w:rPr>
                <w:sz w:val="22"/>
                <w:szCs w:val="22"/>
              </w:rPr>
              <w:t>гиперваскулярных опухолей и процессов, включая маточные фиброиды, эмболизации предстательной железы, Эмболизации артериовенозных аномалий-  мальформаций ,гемостатической</w:t>
            </w:r>
            <w:r w:rsidR="009A02CE">
              <w:rPr>
                <w:sz w:val="22"/>
                <w:szCs w:val="22"/>
              </w:rPr>
              <w:t xml:space="preserve"> </w:t>
            </w:r>
            <w:r w:rsidRPr="00DA73C9">
              <w:rPr>
                <w:sz w:val="22"/>
                <w:szCs w:val="22"/>
              </w:rPr>
              <w:t>эмболизации, дезартеризация</w:t>
            </w:r>
            <w:r>
              <w:rPr>
                <w:sz w:val="22"/>
                <w:szCs w:val="22"/>
              </w:rPr>
              <w:t xml:space="preserve"> </w:t>
            </w:r>
            <w:r w:rsidRPr="00DA73C9">
              <w:rPr>
                <w:sz w:val="22"/>
                <w:szCs w:val="22"/>
              </w:rPr>
              <w:t>геммороидальных узлов, эмболизация органов малого  таза,  менингиомы и пр.</w:t>
            </w:r>
          </w:p>
        </w:tc>
      </w:tr>
      <w:tr w:rsidR="00F500E5" w:rsidTr="00FB3597">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F500E5" w:rsidRDefault="00F500E5">
            <w:pPr>
              <w:rPr>
                <w:b/>
                <w:bCs/>
                <w:lang w:eastAsia="en-US"/>
              </w:rPr>
            </w:pPr>
            <w:r>
              <w:rPr>
                <w:b/>
                <w:bCs/>
                <w:lang w:eastAsia="en-US"/>
              </w:rPr>
              <w:t>19</w:t>
            </w:r>
          </w:p>
        </w:tc>
        <w:tc>
          <w:tcPr>
            <w:tcW w:w="4857" w:type="dxa"/>
            <w:tcBorders>
              <w:top w:val="single" w:sz="4" w:space="0" w:color="auto"/>
              <w:left w:val="single" w:sz="4" w:space="0" w:color="auto"/>
              <w:bottom w:val="single" w:sz="4" w:space="0" w:color="auto"/>
              <w:right w:val="single" w:sz="4" w:space="0" w:color="auto"/>
            </w:tcBorders>
            <w:hideMark/>
          </w:tcPr>
          <w:p w:rsidR="00F500E5" w:rsidRPr="00DC1822" w:rsidRDefault="007F7626" w:rsidP="003E7FA6">
            <w:pPr>
              <w:autoSpaceDE w:val="0"/>
              <w:autoSpaceDN w:val="0"/>
              <w:adjustRightInd w:val="0"/>
              <w:rPr>
                <w:rFonts w:eastAsiaTheme="minorHAnsi"/>
                <w:color w:val="000000"/>
                <w:lang w:eastAsia="en-US"/>
              </w:rPr>
            </w:pPr>
            <w:r>
              <w:rPr>
                <w:rFonts w:eastAsiaTheme="minorHAnsi"/>
                <w:color w:val="000000"/>
                <w:lang w:eastAsia="en-US"/>
              </w:rPr>
              <w:t xml:space="preserve">                                                                              </w:t>
            </w:r>
            <w:r w:rsidR="00F500E5" w:rsidRPr="00DC1822">
              <w:rPr>
                <w:rFonts w:eastAsiaTheme="minorHAnsi"/>
                <w:color w:val="000000"/>
                <w:lang w:eastAsia="en-US"/>
              </w:rPr>
              <w:t xml:space="preserve">Устройство для тромбоэктомии </w:t>
            </w:r>
          </w:p>
        </w:tc>
        <w:tc>
          <w:tcPr>
            <w:tcW w:w="8972" w:type="dxa"/>
            <w:tcBorders>
              <w:top w:val="single" w:sz="4" w:space="0" w:color="auto"/>
              <w:left w:val="single" w:sz="4" w:space="0" w:color="auto"/>
              <w:bottom w:val="single" w:sz="4" w:space="0" w:color="auto"/>
              <w:right w:val="single" w:sz="4" w:space="0" w:color="auto"/>
            </w:tcBorders>
            <w:vAlign w:val="center"/>
            <w:hideMark/>
          </w:tcPr>
          <w:p w:rsidR="00F500E5" w:rsidRPr="00F844E0" w:rsidRDefault="00972F75" w:rsidP="00554B8D">
            <w:r w:rsidRPr="00972F75">
              <w:t>Устройство состоит из саморасширяющейся нитиноловой корзинки, подсоединенной к проталкивающему проводнику диаметром 0.014 дюйма из стали или нитинола, в зависимосчти от модификации. Уникальная проксимальная «кольцевая» конструкция обеспечивает стабильное открытие, предохраняет сохранность диаметра при движении и обеспечивает оптимальное распределение радиальной силы. Уникальный дизайн ячейки двух видов - более крупные клетки захватывают более плотные и крупные тромбы. Асимметричная форма клеток меньшего размера способствует сохранению формы и поддержки во время размещения и извлечения стента. Длинна устройства не менее 2 000 мм. Возможность выбора изделия для разного калибра сосудов. Размерная линейка совместимая с микрокатетером 0.021”: 4x20 мм, 5х40 мм, 6х50 мм. Размерная линейка совместимая с микрокатетером 0.017”(0.0166) : 3x20 мм, 4х20 мм. Устройство должно позволять производить развертывание корзинки не менее пяти раз.</w:t>
            </w:r>
          </w:p>
        </w:tc>
      </w:tr>
      <w:tr w:rsidR="00F500E5" w:rsidTr="00FB3597">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F500E5" w:rsidRDefault="00F500E5">
            <w:pPr>
              <w:rPr>
                <w:b/>
                <w:bCs/>
                <w:lang w:eastAsia="en-US"/>
              </w:rPr>
            </w:pPr>
            <w:r>
              <w:rPr>
                <w:b/>
                <w:bCs/>
                <w:lang w:eastAsia="en-US"/>
              </w:rPr>
              <w:lastRenderedPageBreak/>
              <w:t>20</w:t>
            </w:r>
          </w:p>
        </w:tc>
        <w:tc>
          <w:tcPr>
            <w:tcW w:w="4857" w:type="dxa"/>
            <w:tcBorders>
              <w:top w:val="single" w:sz="4" w:space="0" w:color="auto"/>
              <w:left w:val="single" w:sz="4" w:space="0" w:color="auto"/>
              <w:bottom w:val="single" w:sz="4" w:space="0" w:color="auto"/>
              <w:right w:val="single" w:sz="4" w:space="0" w:color="auto"/>
            </w:tcBorders>
            <w:hideMark/>
          </w:tcPr>
          <w:p w:rsidR="00F500E5" w:rsidRPr="00DC1822" w:rsidRDefault="007F7626" w:rsidP="003E7FA6">
            <w:pPr>
              <w:autoSpaceDE w:val="0"/>
              <w:autoSpaceDN w:val="0"/>
              <w:adjustRightInd w:val="0"/>
              <w:rPr>
                <w:rFonts w:eastAsiaTheme="minorHAnsi"/>
                <w:color w:val="000000"/>
                <w:lang w:eastAsia="en-US"/>
              </w:rPr>
            </w:pPr>
            <w:r>
              <w:rPr>
                <w:rFonts w:eastAsiaTheme="minorHAnsi"/>
                <w:color w:val="000000"/>
                <w:lang w:eastAsia="en-US"/>
              </w:rPr>
              <w:t xml:space="preserve">                                                                      </w:t>
            </w:r>
            <w:r w:rsidR="00F500E5" w:rsidRPr="00DC1822">
              <w:rPr>
                <w:rFonts w:eastAsiaTheme="minorHAnsi"/>
                <w:color w:val="000000"/>
                <w:lang w:eastAsia="en-US"/>
              </w:rPr>
              <w:t>Нейроваскулярный микрокатетер</w:t>
            </w:r>
          </w:p>
        </w:tc>
        <w:tc>
          <w:tcPr>
            <w:tcW w:w="8972" w:type="dxa"/>
            <w:tcBorders>
              <w:top w:val="single" w:sz="4" w:space="0" w:color="auto"/>
              <w:left w:val="single" w:sz="4" w:space="0" w:color="auto"/>
              <w:bottom w:val="single" w:sz="4" w:space="0" w:color="auto"/>
              <w:right w:val="single" w:sz="4" w:space="0" w:color="auto"/>
            </w:tcBorders>
            <w:vAlign w:val="center"/>
            <w:hideMark/>
          </w:tcPr>
          <w:p w:rsidR="00F500E5" w:rsidRPr="00814170" w:rsidRDefault="00972F75" w:rsidP="00FB772F">
            <w:pPr>
              <w:pStyle w:val="Default"/>
              <w:rPr>
                <w:sz w:val="23"/>
                <w:szCs w:val="23"/>
              </w:rPr>
            </w:pPr>
            <w:r w:rsidRPr="00814170">
              <w:rPr>
                <w:sz w:val="23"/>
                <w:szCs w:val="23"/>
              </w:rPr>
              <w:t>Микрокатетер с внутренним диаметром 0.022 дюйма, длиной 155 см, предназначен для поддержки устойчивого доступа соответствующих терапевтических или диагностических устройств, то есть устройств, совместимых с внутренним диаметром этого микрокатетера, и для инфузии терапевтических и диагностических препаратов. Наружный диаметр проксимальной части 2.7 Fr и дистальной 2.4 Fr. Длина пластичной части 15 см. Наружная секция в дистальной части катетера имеет гидрофильное покрытие в размере 55 см, повышающее гладкость поверхности. Слой политетрафторэтилена (PTFE), выстилающий катетер от дистального коничка до проксимального конца, облегчает введение и продвижение совместимых устройств внутри катетера. Рентгеноконтрастная метка, расположенная рядом с дистальным наконечником, позволяет проводить рентгеноскопическую визуализацию при продвижении катетера внутри тела пациента. Микрокатетеримеет прямой атравматичный кончик. Формируемый паром дистальный кончик позволяет выполнить однократную устойчивую модификацию формы наконечника</w:t>
            </w:r>
          </w:p>
        </w:tc>
      </w:tr>
      <w:tr w:rsidR="00F500E5" w:rsidTr="00302444">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F500E5" w:rsidRDefault="00F500E5">
            <w:pPr>
              <w:rPr>
                <w:b/>
                <w:bCs/>
                <w:lang w:eastAsia="en-US"/>
              </w:rPr>
            </w:pPr>
            <w:r>
              <w:rPr>
                <w:b/>
                <w:bCs/>
                <w:lang w:eastAsia="en-US"/>
              </w:rPr>
              <w:t>21</w:t>
            </w:r>
          </w:p>
        </w:tc>
        <w:tc>
          <w:tcPr>
            <w:tcW w:w="4857" w:type="dxa"/>
            <w:tcBorders>
              <w:top w:val="single" w:sz="4" w:space="0" w:color="auto"/>
              <w:left w:val="single" w:sz="4" w:space="0" w:color="auto"/>
              <w:bottom w:val="single" w:sz="4" w:space="0" w:color="auto"/>
              <w:right w:val="single" w:sz="4" w:space="0" w:color="auto"/>
            </w:tcBorders>
            <w:hideMark/>
          </w:tcPr>
          <w:p w:rsidR="00F500E5" w:rsidRPr="00DC1822" w:rsidRDefault="007F7626" w:rsidP="003E7FA6">
            <w:pPr>
              <w:autoSpaceDE w:val="0"/>
              <w:autoSpaceDN w:val="0"/>
              <w:adjustRightInd w:val="0"/>
              <w:rPr>
                <w:rFonts w:eastAsiaTheme="minorHAnsi"/>
                <w:color w:val="000000"/>
                <w:lang w:eastAsia="en-US"/>
              </w:rPr>
            </w:pPr>
            <w:r>
              <w:rPr>
                <w:rFonts w:eastAsiaTheme="minorHAnsi"/>
                <w:color w:val="000000"/>
                <w:lang w:eastAsia="en-US"/>
              </w:rPr>
              <w:t xml:space="preserve">                                                                      </w:t>
            </w:r>
            <w:r w:rsidR="00F500E5" w:rsidRPr="00DC1822">
              <w:rPr>
                <w:rFonts w:eastAsiaTheme="minorHAnsi"/>
                <w:color w:val="000000"/>
                <w:lang w:eastAsia="en-US"/>
              </w:rPr>
              <w:t>Интракраниальный стент</w:t>
            </w:r>
          </w:p>
        </w:tc>
        <w:tc>
          <w:tcPr>
            <w:tcW w:w="8972" w:type="dxa"/>
            <w:tcBorders>
              <w:top w:val="single" w:sz="4" w:space="0" w:color="auto"/>
              <w:left w:val="single" w:sz="4" w:space="0" w:color="auto"/>
              <w:bottom w:val="single" w:sz="4" w:space="0" w:color="auto"/>
              <w:right w:val="single" w:sz="4" w:space="0" w:color="auto"/>
            </w:tcBorders>
            <w:vAlign w:val="center"/>
            <w:hideMark/>
          </w:tcPr>
          <w:p w:rsidR="00F500E5" w:rsidRPr="00814170" w:rsidRDefault="00972F75" w:rsidP="00FB772F">
            <w:pPr>
              <w:pStyle w:val="Default"/>
              <w:rPr>
                <w:sz w:val="23"/>
                <w:szCs w:val="23"/>
              </w:rPr>
            </w:pPr>
            <w:proofErr w:type="gramStart"/>
            <w:r w:rsidRPr="00814170">
              <w:rPr>
                <w:sz w:val="23"/>
                <w:szCs w:val="23"/>
              </w:rPr>
              <w:t>Самораскрывающийся</w:t>
            </w:r>
            <w:proofErr w:type="gramEnd"/>
            <w:r w:rsidRPr="00814170">
              <w:rPr>
                <w:sz w:val="23"/>
                <w:szCs w:val="23"/>
              </w:rPr>
              <w:t xml:space="preserve"> нитиноловый стент с открытой ячейкой спроектирован для оптимальной адаптации к различной конфигурации сосудов. Крайнее проксимальное и дистальное кольцо полностью имеют закрытую ячейку. Показания к применению: Лечение аневризм с широкой шейкой, расслоений и внутричерепных стенозов. </w:t>
            </w:r>
            <w:proofErr w:type="gramStart"/>
            <w:r w:rsidRPr="00814170">
              <w:rPr>
                <w:sz w:val="23"/>
                <w:szCs w:val="23"/>
              </w:rPr>
              <w:t>Доступен</w:t>
            </w:r>
            <w:proofErr w:type="gramEnd"/>
            <w:r w:rsidRPr="00814170">
              <w:rPr>
                <w:sz w:val="23"/>
                <w:szCs w:val="23"/>
              </w:rPr>
              <w:t xml:space="preserve"> с запатентованной технологией антитромбогенного покрытия HPC для повышения безопасности пациентов. Для сосудов диаметром от 2,5 мм до 4,5 мм. Совместимость с микрокатетером с внутренним диаметром 0,0165 дюйма / 0,017 дюйма. На </w:t>
            </w:r>
            <w:proofErr w:type="gramStart"/>
            <w:r w:rsidRPr="00814170">
              <w:rPr>
                <w:sz w:val="23"/>
                <w:szCs w:val="23"/>
              </w:rPr>
              <w:t>проксимальной</w:t>
            </w:r>
            <w:proofErr w:type="gramEnd"/>
            <w:r w:rsidRPr="00814170">
              <w:rPr>
                <w:sz w:val="23"/>
                <w:szCs w:val="23"/>
              </w:rPr>
              <w:t xml:space="preserve"> и дистальной частях расположены по 2 платиновых рентгенконтрасных маркера. Так же кончик дистального проводника имеет платиновый маркер. Размеры стента: диаметр 4.0 и 5.0 мм, длины 15,20,25,30 мм.</w:t>
            </w:r>
          </w:p>
        </w:tc>
      </w:tr>
      <w:tr w:rsidR="00F500E5" w:rsidTr="00302444">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F500E5" w:rsidRDefault="00F500E5">
            <w:pPr>
              <w:rPr>
                <w:b/>
                <w:bCs/>
                <w:lang w:eastAsia="en-US"/>
              </w:rPr>
            </w:pPr>
            <w:r>
              <w:rPr>
                <w:b/>
                <w:bCs/>
                <w:lang w:eastAsia="en-US"/>
              </w:rPr>
              <w:t>22</w:t>
            </w:r>
          </w:p>
        </w:tc>
        <w:tc>
          <w:tcPr>
            <w:tcW w:w="4857" w:type="dxa"/>
            <w:tcBorders>
              <w:top w:val="single" w:sz="4" w:space="0" w:color="auto"/>
              <w:left w:val="single" w:sz="4" w:space="0" w:color="auto"/>
              <w:bottom w:val="single" w:sz="4" w:space="0" w:color="auto"/>
              <w:right w:val="single" w:sz="4" w:space="0" w:color="auto"/>
            </w:tcBorders>
            <w:hideMark/>
          </w:tcPr>
          <w:p w:rsidR="00F500E5" w:rsidRPr="00DC1822" w:rsidRDefault="00A10ACF" w:rsidP="003E7FA6">
            <w:pPr>
              <w:autoSpaceDE w:val="0"/>
              <w:autoSpaceDN w:val="0"/>
              <w:adjustRightInd w:val="0"/>
              <w:rPr>
                <w:rFonts w:eastAsiaTheme="minorHAnsi"/>
                <w:color w:val="000000"/>
                <w:lang w:eastAsia="en-US"/>
              </w:rPr>
            </w:pPr>
            <w:r>
              <w:rPr>
                <w:rFonts w:eastAsiaTheme="minorHAnsi"/>
                <w:color w:val="000000"/>
                <w:lang w:eastAsia="en-US"/>
              </w:rPr>
              <w:t xml:space="preserve">                                                                             </w:t>
            </w:r>
            <w:r w:rsidR="00F500E5" w:rsidRPr="00DC1822">
              <w:rPr>
                <w:rFonts w:eastAsiaTheme="minorHAnsi"/>
                <w:color w:val="000000"/>
                <w:lang w:eastAsia="en-US"/>
              </w:rPr>
              <w:t xml:space="preserve">Спирали для  эмболизации </w:t>
            </w:r>
          </w:p>
        </w:tc>
        <w:tc>
          <w:tcPr>
            <w:tcW w:w="8972" w:type="dxa"/>
            <w:tcBorders>
              <w:top w:val="single" w:sz="4" w:space="0" w:color="auto"/>
              <w:left w:val="single" w:sz="4" w:space="0" w:color="auto"/>
              <w:bottom w:val="single" w:sz="4" w:space="0" w:color="auto"/>
              <w:right w:val="single" w:sz="4" w:space="0" w:color="auto"/>
            </w:tcBorders>
            <w:vAlign w:val="center"/>
            <w:hideMark/>
          </w:tcPr>
          <w:p w:rsidR="00F500E5" w:rsidRPr="00814170" w:rsidRDefault="00972F75" w:rsidP="009C13EE">
            <w:pPr>
              <w:pStyle w:val="Default"/>
              <w:rPr>
                <w:sz w:val="22"/>
                <w:szCs w:val="22"/>
              </w:rPr>
            </w:pPr>
            <w:r w:rsidRPr="00814170">
              <w:rPr>
                <w:sz w:val="22"/>
                <w:szCs w:val="22"/>
              </w:rPr>
              <w:t>Спиральная система для эндоваскулярной эмболизации внутричерепных аневризм и других нейроваскулярных аномалий, артериовенозных мальформаций и артериовенозных свищей, а также для артериальной и венозной эмболизации периферических сосудов. Состоит из имплантируемой платиновой спирали, прикреплённой к толкателю. Толкатель представляет собой устройство доставки эмболизационной спирали к месту лечения сосуда и рассчитан на механическое отсоединение спирали от толкателя. Система в следующей конфигурации: составная каркасная спираль, винтовая заполняющая спираль, винтовая завершающая спираль, составная завершающая спираль. Система должна быть в совместимых системах 10 и 18 и доставляться через микрокатетеры 0,017 дюйм, 0,43 мм. Размеры: диаметр 1 до 10 мм</w:t>
            </w:r>
            <w:proofErr w:type="gramStart"/>
            <w:r w:rsidRPr="00814170">
              <w:rPr>
                <w:sz w:val="22"/>
                <w:szCs w:val="22"/>
              </w:rPr>
              <w:t>,д</w:t>
            </w:r>
            <w:proofErr w:type="gramEnd"/>
            <w:r w:rsidRPr="00814170">
              <w:rPr>
                <w:sz w:val="22"/>
                <w:szCs w:val="22"/>
              </w:rPr>
              <w:t>лина 2-60 см. обязательное наличие radio safe рентгенконтрасного маркера на</w:t>
            </w:r>
            <w:r w:rsidR="009C5397" w:rsidRPr="00814170">
              <w:rPr>
                <w:sz w:val="22"/>
                <w:szCs w:val="22"/>
              </w:rPr>
              <w:t xml:space="preserve"> </w:t>
            </w:r>
            <w:r w:rsidRPr="00814170">
              <w:rPr>
                <w:sz w:val="22"/>
                <w:szCs w:val="22"/>
              </w:rPr>
              <w:t xml:space="preserve"> проксимальном конце для уме</w:t>
            </w:r>
            <w:r w:rsidR="009C5397" w:rsidRPr="00814170">
              <w:rPr>
                <w:sz w:val="22"/>
                <w:szCs w:val="22"/>
              </w:rPr>
              <w:t>ншен</w:t>
            </w:r>
            <w:r w:rsidRPr="00814170">
              <w:rPr>
                <w:sz w:val="22"/>
                <w:szCs w:val="22"/>
              </w:rPr>
              <w:t>ия радиационной нагрузки на пациента и врача.</w:t>
            </w:r>
          </w:p>
        </w:tc>
      </w:tr>
      <w:tr w:rsidR="00F500E5" w:rsidTr="00302444">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F500E5" w:rsidRDefault="00F500E5">
            <w:pPr>
              <w:rPr>
                <w:b/>
                <w:bCs/>
                <w:lang w:eastAsia="en-US"/>
              </w:rPr>
            </w:pPr>
            <w:r>
              <w:rPr>
                <w:b/>
                <w:bCs/>
                <w:lang w:eastAsia="en-US"/>
              </w:rPr>
              <w:lastRenderedPageBreak/>
              <w:t>23</w:t>
            </w:r>
          </w:p>
        </w:tc>
        <w:tc>
          <w:tcPr>
            <w:tcW w:w="4857" w:type="dxa"/>
            <w:tcBorders>
              <w:top w:val="single" w:sz="4" w:space="0" w:color="auto"/>
              <w:left w:val="single" w:sz="4" w:space="0" w:color="auto"/>
              <w:bottom w:val="single" w:sz="4" w:space="0" w:color="auto"/>
              <w:right w:val="single" w:sz="4" w:space="0" w:color="auto"/>
            </w:tcBorders>
            <w:hideMark/>
          </w:tcPr>
          <w:p w:rsidR="00F500E5" w:rsidRPr="00DC1822" w:rsidRDefault="00A10ACF" w:rsidP="003E7FA6">
            <w:pPr>
              <w:autoSpaceDE w:val="0"/>
              <w:autoSpaceDN w:val="0"/>
              <w:adjustRightInd w:val="0"/>
              <w:rPr>
                <w:rFonts w:eastAsiaTheme="minorHAnsi"/>
                <w:color w:val="000000"/>
                <w:lang w:eastAsia="en-US"/>
              </w:rPr>
            </w:pPr>
            <w:r>
              <w:rPr>
                <w:rFonts w:eastAsiaTheme="minorHAnsi"/>
                <w:color w:val="000000"/>
                <w:lang w:eastAsia="en-US"/>
              </w:rPr>
              <w:t xml:space="preserve">                                                                           </w:t>
            </w:r>
            <w:r w:rsidR="00F500E5" w:rsidRPr="00DC1822">
              <w:rPr>
                <w:rFonts w:eastAsiaTheme="minorHAnsi"/>
                <w:color w:val="000000"/>
                <w:lang w:eastAsia="en-US"/>
              </w:rPr>
              <w:t>Устройство модуляции потока</w:t>
            </w:r>
            <w:r w:rsidR="00574FB4">
              <w:rPr>
                <w:rFonts w:eastAsiaTheme="minorHAnsi"/>
                <w:color w:val="000000"/>
                <w:lang w:eastAsia="en-US"/>
              </w:rPr>
              <w:t xml:space="preserve"> 64 пр.</w:t>
            </w:r>
          </w:p>
        </w:tc>
        <w:tc>
          <w:tcPr>
            <w:tcW w:w="8972" w:type="dxa"/>
            <w:tcBorders>
              <w:top w:val="single" w:sz="4" w:space="0" w:color="auto"/>
              <w:left w:val="single" w:sz="4" w:space="0" w:color="auto"/>
              <w:bottom w:val="single" w:sz="4" w:space="0" w:color="auto"/>
              <w:right w:val="single" w:sz="4" w:space="0" w:color="auto"/>
            </w:tcBorders>
            <w:vAlign w:val="center"/>
            <w:hideMark/>
          </w:tcPr>
          <w:p w:rsidR="00F500E5" w:rsidRPr="00B361D9" w:rsidRDefault="00972F75" w:rsidP="009C13EE">
            <w:pPr>
              <w:pStyle w:val="Default"/>
              <w:rPr>
                <w:sz w:val="22"/>
                <w:szCs w:val="22"/>
              </w:rPr>
            </w:pPr>
            <w:r w:rsidRPr="00B361D9">
              <w:rPr>
                <w:sz w:val="22"/>
                <w:szCs w:val="22"/>
              </w:rPr>
              <w:t xml:space="preserve">Устройство для модуляции потока с покрытием представляет собой трубчатый сосудистый имплантат, состоящий из 64 переплетенных нитиноловых </w:t>
            </w:r>
            <w:proofErr w:type="gramStart"/>
            <w:r w:rsidRPr="00B361D9">
              <w:rPr>
                <w:sz w:val="22"/>
                <w:szCs w:val="22"/>
              </w:rPr>
              <w:t>проволок</w:t>
            </w:r>
            <w:proofErr w:type="gramEnd"/>
            <w:r w:rsidRPr="00B361D9">
              <w:rPr>
                <w:sz w:val="22"/>
                <w:szCs w:val="22"/>
              </w:rPr>
              <w:t xml:space="preserve"> которые заполнены платиновым сердечником для обеспечения 100% видимости при рентгеноскопии. Покрытие HPC (HPC: гидрофильное полимерное покрытие) покрывает весь имплантат и уменьшает первоначальное присоединение тромбоцитов и, таким образом, снижает риск образования тромба.  Устройство имеет подвижный дистальный проводник для обеспечения безопасного позиционирования.  Легкое отсоединение по принципу фрикционной фиксации с маркером «точки невозврата». Доставляется имплант через микрокатетер 0.021”. Рентгенконтрасные платиновые маркеты расположены на кончике дистального проводника и в месте «точки невозврата», расстояние между ними составляет 60 мм при максимальной длине дистального проводника. Устройство разработано для имплантации в сосуды диаметром 2,5–5 мм. Размерная линейка: номинальный диаметр – 3, 3.5, 4, 4.5, 5 мм, номинальные длины 9, 12, 15, 18, 21, 24, 27, 30 мм.</w:t>
            </w:r>
          </w:p>
        </w:tc>
      </w:tr>
      <w:tr w:rsidR="00F500E5" w:rsidTr="00302444">
        <w:trPr>
          <w:trHeight w:val="698"/>
          <w:jc w:val="center"/>
        </w:trPr>
        <w:tc>
          <w:tcPr>
            <w:tcW w:w="957" w:type="dxa"/>
            <w:tcBorders>
              <w:top w:val="single" w:sz="4" w:space="0" w:color="auto"/>
              <w:left w:val="single" w:sz="4" w:space="0" w:color="auto"/>
              <w:bottom w:val="single" w:sz="4" w:space="0" w:color="auto"/>
              <w:right w:val="single" w:sz="4" w:space="0" w:color="auto"/>
            </w:tcBorders>
            <w:vAlign w:val="center"/>
          </w:tcPr>
          <w:p w:rsidR="00F500E5" w:rsidRDefault="00F500E5">
            <w:pPr>
              <w:rPr>
                <w:b/>
                <w:bCs/>
                <w:lang w:eastAsia="en-US"/>
              </w:rPr>
            </w:pPr>
            <w:r>
              <w:rPr>
                <w:b/>
                <w:bCs/>
                <w:lang w:eastAsia="en-US"/>
              </w:rPr>
              <w:t>24</w:t>
            </w:r>
          </w:p>
        </w:tc>
        <w:tc>
          <w:tcPr>
            <w:tcW w:w="4857" w:type="dxa"/>
            <w:tcBorders>
              <w:top w:val="single" w:sz="4" w:space="0" w:color="auto"/>
              <w:left w:val="single" w:sz="4" w:space="0" w:color="auto"/>
              <w:bottom w:val="single" w:sz="4" w:space="0" w:color="auto"/>
              <w:right w:val="single" w:sz="4" w:space="0" w:color="auto"/>
            </w:tcBorders>
            <w:hideMark/>
          </w:tcPr>
          <w:p w:rsidR="00F500E5" w:rsidRPr="00DC1822" w:rsidRDefault="00A10ACF" w:rsidP="003E7FA6">
            <w:pPr>
              <w:autoSpaceDE w:val="0"/>
              <w:autoSpaceDN w:val="0"/>
              <w:adjustRightInd w:val="0"/>
              <w:rPr>
                <w:rFonts w:eastAsiaTheme="minorHAnsi"/>
                <w:color w:val="000000"/>
                <w:lang w:eastAsia="en-US"/>
              </w:rPr>
            </w:pPr>
            <w:r>
              <w:rPr>
                <w:rFonts w:eastAsiaTheme="minorHAnsi"/>
                <w:color w:val="000000"/>
                <w:lang w:eastAsia="en-US"/>
              </w:rPr>
              <w:t xml:space="preserve">                                                                                 </w:t>
            </w:r>
            <w:r w:rsidR="00F500E5" w:rsidRPr="00DC1822">
              <w:rPr>
                <w:rFonts w:eastAsiaTheme="minorHAnsi"/>
                <w:color w:val="000000"/>
                <w:lang w:eastAsia="en-US"/>
              </w:rPr>
              <w:t>Устройство модуляции потока</w:t>
            </w:r>
            <w:r w:rsidR="00574FB4">
              <w:rPr>
                <w:rFonts w:eastAsiaTheme="minorHAnsi"/>
                <w:color w:val="000000"/>
                <w:lang w:eastAsia="en-US"/>
              </w:rPr>
              <w:t xml:space="preserve"> 48 пр.</w:t>
            </w:r>
          </w:p>
        </w:tc>
        <w:tc>
          <w:tcPr>
            <w:tcW w:w="8972" w:type="dxa"/>
            <w:tcBorders>
              <w:top w:val="single" w:sz="4" w:space="0" w:color="auto"/>
              <w:left w:val="single" w:sz="4" w:space="0" w:color="auto"/>
              <w:bottom w:val="single" w:sz="4" w:space="0" w:color="auto"/>
              <w:right w:val="single" w:sz="4" w:space="0" w:color="auto"/>
            </w:tcBorders>
            <w:vAlign w:val="center"/>
            <w:hideMark/>
          </w:tcPr>
          <w:p w:rsidR="00F500E5" w:rsidRPr="00B361D9" w:rsidRDefault="00972F75" w:rsidP="00F72143">
            <w:pPr>
              <w:pStyle w:val="Default"/>
              <w:jc w:val="both"/>
              <w:rPr>
                <w:sz w:val="22"/>
                <w:szCs w:val="22"/>
              </w:rPr>
            </w:pPr>
            <w:r w:rsidRPr="00B361D9">
              <w:rPr>
                <w:sz w:val="22"/>
                <w:szCs w:val="22"/>
              </w:rPr>
              <w:t xml:space="preserve">Устройство для модуляции потока с покрытием представляет собой трубчатый сосудистый имплантат, состоящий из 48 переплетенных нитиноловых </w:t>
            </w:r>
            <w:proofErr w:type="gramStart"/>
            <w:r w:rsidRPr="00B361D9">
              <w:rPr>
                <w:sz w:val="22"/>
                <w:szCs w:val="22"/>
              </w:rPr>
              <w:t>проволок</w:t>
            </w:r>
            <w:proofErr w:type="gramEnd"/>
            <w:r w:rsidRPr="00B361D9">
              <w:rPr>
                <w:sz w:val="22"/>
                <w:szCs w:val="22"/>
              </w:rPr>
              <w:t xml:space="preserve"> которые заполнены платиновым сердечником для обеспечения 100% видимости при рентгеноскопии. Покрытие HPC (HPC: гидрофильное полимерное покрытие) покрывает весь имплантат и уменьшает первоначальное присоединение тромбоцитов и, таким образом, снижает риск образования тромба.  Устройство имеет подвижный дистальный проводник для обеспечения безопасного позиционирования.  Легкое отсоединение по принципу фрикционной фиксации с маркером «точки невозврата». Доставляется имплант через микрокатетер 0.021”. Рентгенконтрасные платиновые маркеты расположены на кончике дистального проводника и в месте «точки невозврата», расстояние между ними составляет 60 мм при максимальной длине дистального проводника. Устройство разработано для имплантации в сосуды диаметром 2,5</w:t>
            </w:r>
            <w:r w:rsidR="00814170" w:rsidRPr="00B361D9">
              <w:rPr>
                <w:sz w:val="22"/>
                <w:szCs w:val="22"/>
              </w:rPr>
              <w:t>–5 мм. Размерная линейка</w:t>
            </w:r>
            <w:proofErr w:type="gramStart"/>
            <w:r w:rsidR="00814170" w:rsidRPr="00B361D9">
              <w:rPr>
                <w:sz w:val="22"/>
                <w:szCs w:val="22"/>
              </w:rPr>
              <w:t>:н</w:t>
            </w:r>
            <w:proofErr w:type="gramEnd"/>
            <w:r w:rsidR="00814170" w:rsidRPr="00B361D9">
              <w:rPr>
                <w:sz w:val="22"/>
                <w:szCs w:val="22"/>
              </w:rPr>
              <w:t>оминальный диаметр – 2 и 3 мм,номинальные длины 9,12,15,</w:t>
            </w:r>
            <w:r w:rsidRPr="00B361D9">
              <w:rPr>
                <w:sz w:val="22"/>
                <w:szCs w:val="22"/>
              </w:rPr>
              <w:t>18 мм.</w:t>
            </w:r>
          </w:p>
        </w:tc>
      </w:tr>
      <w:tr w:rsidR="000A2974" w:rsidTr="00BB454F">
        <w:trPr>
          <w:trHeight w:val="783"/>
          <w:jc w:val="center"/>
        </w:trPr>
        <w:tc>
          <w:tcPr>
            <w:tcW w:w="957" w:type="dxa"/>
            <w:tcBorders>
              <w:top w:val="single" w:sz="4" w:space="0" w:color="auto"/>
              <w:left w:val="single" w:sz="4" w:space="0" w:color="auto"/>
              <w:bottom w:val="single" w:sz="4" w:space="0" w:color="auto"/>
              <w:right w:val="single" w:sz="4" w:space="0" w:color="auto"/>
            </w:tcBorders>
            <w:vAlign w:val="center"/>
          </w:tcPr>
          <w:p w:rsidR="000A2974" w:rsidRDefault="00F500E5">
            <w:pPr>
              <w:rPr>
                <w:b/>
                <w:bCs/>
                <w:lang w:eastAsia="en-US"/>
              </w:rPr>
            </w:pPr>
            <w:r>
              <w:rPr>
                <w:b/>
                <w:bCs/>
                <w:lang w:eastAsia="en-US"/>
              </w:rPr>
              <w:t>25</w:t>
            </w:r>
          </w:p>
        </w:tc>
        <w:tc>
          <w:tcPr>
            <w:tcW w:w="4857" w:type="dxa"/>
            <w:tcBorders>
              <w:top w:val="single" w:sz="4" w:space="0" w:color="auto"/>
              <w:left w:val="single" w:sz="4" w:space="0" w:color="auto"/>
              <w:bottom w:val="single" w:sz="4" w:space="0" w:color="auto"/>
              <w:right w:val="single" w:sz="4" w:space="0" w:color="auto"/>
            </w:tcBorders>
            <w:vAlign w:val="center"/>
            <w:hideMark/>
          </w:tcPr>
          <w:p w:rsidR="000A2974" w:rsidRPr="00F72143" w:rsidRDefault="00F500E5" w:rsidP="009617CF">
            <w:pPr>
              <w:rPr>
                <w:color w:val="000000"/>
              </w:rPr>
            </w:pPr>
            <w:r w:rsidRPr="00DC1822">
              <w:rPr>
                <w:rFonts w:eastAsiaTheme="minorHAnsi"/>
                <w:color w:val="000000"/>
                <w:lang w:eastAsia="en-US"/>
              </w:rPr>
              <w:t>Устройство-фиксатор для постоянной  и временной  пластики  сосуда</w:t>
            </w:r>
          </w:p>
        </w:tc>
        <w:tc>
          <w:tcPr>
            <w:tcW w:w="8972" w:type="dxa"/>
            <w:tcBorders>
              <w:top w:val="single" w:sz="4" w:space="0" w:color="auto"/>
              <w:left w:val="single" w:sz="4" w:space="0" w:color="auto"/>
              <w:bottom w:val="single" w:sz="4" w:space="0" w:color="auto"/>
              <w:right w:val="single" w:sz="4" w:space="0" w:color="auto"/>
            </w:tcBorders>
            <w:vAlign w:val="center"/>
            <w:hideMark/>
          </w:tcPr>
          <w:p w:rsidR="00B361D9" w:rsidRPr="00276A59" w:rsidRDefault="00A10ACF" w:rsidP="00F72143">
            <w:pPr>
              <w:pStyle w:val="Default"/>
              <w:jc w:val="both"/>
              <w:rPr>
                <w:sz w:val="21"/>
                <w:szCs w:val="21"/>
              </w:rPr>
            </w:pPr>
            <w:r w:rsidRPr="00276A59">
              <w:rPr>
                <w:sz w:val="21"/>
                <w:szCs w:val="21"/>
              </w:rPr>
              <w:t xml:space="preserve">Устройство-фиксатор </w:t>
            </w:r>
            <w:proofErr w:type="gramStart"/>
            <w:r w:rsidRPr="00276A59">
              <w:rPr>
                <w:sz w:val="21"/>
                <w:szCs w:val="21"/>
              </w:rPr>
              <w:t>сосудистый</w:t>
            </w:r>
            <w:proofErr w:type="gramEnd"/>
            <w:r w:rsidRPr="00276A59">
              <w:rPr>
                <w:sz w:val="21"/>
                <w:szCs w:val="21"/>
              </w:rPr>
              <w:t xml:space="preserve"> титановый для постоянной/временной окклюзии. </w:t>
            </w:r>
            <w:proofErr w:type="gramStart"/>
            <w:r w:rsidRPr="00276A59">
              <w:rPr>
                <w:sz w:val="21"/>
                <w:szCs w:val="21"/>
              </w:rPr>
              <w:t>Наличие изгибов: прямой, байонетный, слегка изогнутый, искривленный, изогнутый вбок, L-образный, J-образный, угловой.</w:t>
            </w:r>
            <w:proofErr w:type="gramEnd"/>
            <w:r w:rsidRPr="00276A59">
              <w:rPr>
                <w:sz w:val="21"/>
                <w:szCs w:val="21"/>
              </w:rPr>
              <w:t xml:space="preserve"> Длина браншей по выбору Заказчика (от 2 мм до 20 мм). Максимальная ширина открытия браншей от 1,5 мм до 26 мм. Не менее 99 типов стандартных устройств-фиксаторов, не менее 30 типа миниустройств-фиксаторов. Наличие мостика, предотвращающего соскальзывание браншей. Поверхность браншей </w:t>
            </w:r>
            <w:proofErr w:type="gramStart"/>
            <w:r w:rsidRPr="00276A59">
              <w:rPr>
                <w:sz w:val="21"/>
                <w:szCs w:val="21"/>
              </w:rPr>
              <w:t>должна</w:t>
            </w:r>
            <w:proofErr w:type="gramEnd"/>
            <w:r w:rsidRPr="00276A59">
              <w:rPr>
                <w:sz w:val="21"/>
                <w:szCs w:val="21"/>
              </w:rPr>
              <w:t xml:space="preserve"> выполнена в форме желобка, что позволяет значительно расширить площадь соприкосновения браншей и увеличить силу смыкания. Благодаря уникальному дизайну, который предотвращает скольжение и обеспечивает сохранность окружающих тканей, риск повреждения сосуда минимален. Маркировка лазером каждогоустройства-фиксатора индивидуальным серийным номером. Указание силы смыкания на индивидуальной упаковке устройства-фиксатора. Сила смыкания стандартных постоянных и </w:t>
            </w:r>
            <w:r w:rsidRPr="00276A59">
              <w:rPr>
                <w:sz w:val="21"/>
                <w:szCs w:val="21"/>
              </w:rPr>
              <w:lastRenderedPageBreak/>
              <w:t xml:space="preserve">временных браншей от 50 до 185, фенестрированных браншей от 105 до 165, постоянных и временных мини браншей от 50 </w:t>
            </w:r>
            <w:proofErr w:type="gramStart"/>
            <w:r w:rsidRPr="00276A59">
              <w:rPr>
                <w:sz w:val="21"/>
                <w:szCs w:val="21"/>
              </w:rPr>
              <w:t>до</w:t>
            </w:r>
            <w:proofErr w:type="gramEnd"/>
            <w:r w:rsidRPr="00276A59">
              <w:rPr>
                <w:sz w:val="21"/>
                <w:szCs w:val="21"/>
              </w:rPr>
              <w:t xml:space="preserve"> 165. Устройства- фиксаторы должны обеспечивать </w:t>
            </w:r>
            <w:proofErr w:type="gramStart"/>
            <w:r w:rsidRPr="00276A59">
              <w:rPr>
                <w:sz w:val="21"/>
                <w:szCs w:val="21"/>
              </w:rPr>
              <w:t>высочайшую</w:t>
            </w:r>
            <w:proofErr w:type="gramEnd"/>
            <w:r w:rsidRPr="00276A59">
              <w:rPr>
                <w:sz w:val="21"/>
                <w:szCs w:val="21"/>
              </w:rPr>
              <w:t xml:space="preserve"> </w:t>
            </w:r>
          </w:p>
          <w:p w:rsidR="000A2974" w:rsidRPr="00276A59" w:rsidRDefault="00A10ACF" w:rsidP="00F72143">
            <w:pPr>
              <w:pStyle w:val="Default"/>
              <w:jc w:val="both"/>
              <w:rPr>
                <w:sz w:val="21"/>
                <w:szCs w:val="21"/>
              </w:rPr>
            </w:pPr>
            <w:proofErr w:type="gramStart"/>
            <w:r w:rsidRPr="00276A59">
              <w:rPr>
                <w:sz w:val="21"/>
                <w:szCs w:val="21"/>
              </w:rPr>
              <w:t>биологическую совместимость, прочность и износоустойчивость, необходимые для постоянной имплантации.</w:t>
            </w:r>
            <w:proofErr w:type="gramEnd"/>
            <w:r w:rsidRPr="00276A59">
              <w:rPr>
                <w:sz w:val="21"/>
                <w:szCs w:val="21"/>
              </w:rPr>
              <w:t xml:space="preserve"> Рукоятки устройств-фиксаторов и зажимы инструментов для устройств-фиксаторов должны соответствовать друг другу по цвету. Материал кобальт-хром-молибденовый сплав, сплав неферромагнитный. Возможность проведения МРТ интенсивностью до 3-х Тесла. Поставка в индивидуальной нестерильной упаковке. Во избежание повреждения и для удобства захвата и перемещения, каждый клипс помещен в индивидуальный металлический контейнер и закреплен в термостойкой силиконовой губке.</w:t>
            </w:r>
          </w:p>
        </w:tc>
      </w:tr>
      <w:tr w:rsidR="00B361D9" w:rsidTr="00BB454F">
        <w:trPr>
          <w:trHeight w:val="783"/>
          <w:jc w:val="center"/>
        </w:trPr>
        <w:tc>
          <w:tcPr>
            <w:tcW w:w="957" w:type="dxa"/>
            <w:tcBorders>
              <w:top w:val="single" w:sz="4" w:space="0" w:color="auto"/>
              <w:left w:val="single" w:sz="4" w:space="0" w:color="auto"/>
              <w:bottom w:val="single" w:sz="4" w:space="0" w:color="auto"/>
              <w:right w:val="single" w:sz="4" w:space="0" w:color="auto"/>
            </w:tcBorders>
            <w:vAlign w:val="center"/>
          </w:tcPr>
          <w:p w:rsidR="00B361D9" w:rsidRDefault="00B361D9">
            <w:pPr>
              <w:rPr>
                <w:b/>
                <w:bCs/>
                <w:lang w:eastAsia="en-US"/>
              </w:rPr>
            </w:pPr>
            <w:r>
              <w:rPr>
                <w:b/>
                <w:bCs/>
                <w:lang w:eastAsia="en-US"/>
              </w:rPr>
              <w:lastRenderedPageBreak/>
              <w:t>26</w:t>
            </w:r>
          </w:p>
        </w:tc>
        <w:tc>
          <w:tcPr>
            <w:tcW w:w="4857" w:type="dxa"/>
            <w:tcBorders>
              <w:top w:val="single" w:sz="4" w:space="0" w:color="auto"/>
              <w:left w:val="single" w:sz="4" w:space="0" w:color="auto"/>
              <w:bottom w:val="single" w:sz="4" w:space="0" w:color="auto"/>
              <w:right w:val="single" w:sz="4" w:space="0" w:color="auto"/>
            </w:tcBorders>
            <w:vAlign w:val="center"/>
            <w:hideMark/>
          </w:tcPr>
          <w:p w:rsidR="00B361D9" w:rsidRPr="006C6591" w:rsidRDefault="00B361D9" w:rsidP="00B361D9">
            <w:pPr>
              <w:pStyle w:val="a7"/>
              <w:rPr>
                <w:rFonts w:ascii="Times New Roman" w:hAnsi="Times New Roman" w:cs="Times New Roman"/>
              </w:rPr>
            </w:pPr>
            <w:r>
              <w:rPr>
                <w:rFonts w:ascii="Times New Roman" w:hAnsi="Times New Roman" w:cs="Times New Roman"/>
                <w:noProof/>
              </w:rPr>
              <w:t xml:space="preserve">                                                                                        </w:t>
            </w:r>
            <w:r w:rsidRPr="006C6591">
              <w:rPr>
                <w:rFonts w:ascii="Times New Roman" w:hAnsi="Times New Roman" w:cs="Times New Roman"/>
                <w:noProof/>
              </w:rPr>
              <w:t>Набор электрода для денервации диска и проведения нуклеопластики</w:t>
            </w:r>
          </w:p>
          <w:p w:rsidR="00B361D9" w:rsidRPr="00DC1822" w:rsidRDefault="00B361D9" w:rsidP="009617CF">
            <w:pPr>
              <w:rPr>
                <w:rFonts w:eastAsiaTheme="minorHAnsi"/>
                <w:color w:val="000000"/>
                <w:lang w:eastAsia="en-US"/>
              </w:rPr>
            </w:pPr>
          </w:p>
        </w:tc>
        <w:tc>
          <w:tcPr>
            <w:tcW w:w="8972" w:type="dxa"/>
            <w:tcBorders>
              <w:top w:val="single" w:sz="4" w:space="0" w:color="auto"/>
              <w:left w:val="single" w:sz="4" w:space="0" w:color="auto"/>
              <w:bottom w:val="single" w:sz="4" w:space="0" w:color="auto"/>
              <w:right w:val="single" w:sz="4" w:space="0" w:color="auto"/>
            </w:tcBorders>
            <w:vAlign w:val="center"/>
            <w:hideMark/>
          </w:tcPr>
          <w:p w:rsidR="00B361D9" w:rsidRPr="00276A59" w:rsidRDefault="00B361D9" w:rsidP="00F72143">
            <w:pPr>
              <w:pStyle w:val="Default"/>
              <w:jc w:val="both"/>
              <w:rPr>
                <w:sz w:val="21"/>
                <w:szCs w:val="21"/>
              </w:rPr>
            </w:pPr>
            <w:r w:rsidRPr="00276A59">
              <w:rPr>
                <w:rFonts w:eastAsia="Times New Roman"/>
                <w:sz w:val="21"/>
                <w:szCs w:val="21"/>
              </w:rPr>
              <w:t>Применяется для денервации диска и проведения нуклеопластики. Состав набора</w:t>
            </w:r>
            <w:proofErr w:type="gramStart"/>
            <w:r w:rsidRPr="00276A59">
              <w:rPr>
                <w:rFonts w:eastAsia="Times New Roman"/>
                <w:sz w:val="21"/>
                <w:szCs w:val="21"/>
              </w:rPr>
              <w:t xml:space="preserve"> :</w:t>
            </w:r>
            <w:proofErr w:type="gramEnd"/>
            <w:r w:rsidRPr="00276A59">
              <w:rPr>
                <w:rFonts w:eastAsia="Times New Roman"/>
                <w:sz w:val="21"/>
                <w:szCs w:val="21"/>
              </w:rPr>
              <w:t xml:space="preserve"> гибкий электрод  с изогнутым кончиком для прицельного  воздействия с насечкой в виде спирали, изогнутая канюля 17G,  длиной 15см стерильные,</w:t>
            </w:r>
            <w:r w:rsidRPr="00276A59">
              <w:rPr>
                <w:noProof/>
                <w:color w:val="auto"/>
                <w:sz w:val="21"/>
                <w:szCs w:val="21"/>
              </w:rPr>
              <w:t xml:space="preserve"> для Радиочастотного Аппарата-генератора</w:t>
            </w:r>
          </w:p>
        </w:tc>
      </w:tr>
      <w:tr w:rsidR="00276A59" w:rsidTr="00BB454F">
        <w:trPr>
          <w:trHeight w:val="783"/>
          <w:jc w:val="center"/>
        </w:trPr>
        <w:tc>
          <w:tcPr>
            <w:tcW w:w="957" w:type="dxa"/>
            <w:tcBorders>
              <w:top w:val="single" w:sz="4" w:space="0" w:color="auto"/>
              <w:left w:val="single" w:sz="4" w:space="0" w:color="auto"/>
              <w:bottom w:val="single" w:sz="4" w:space="0" w:color="auto"/>
              <w:right w:val="single" w:sz="4" w:space="0" w:color="auto"/>
            </w:tcBorders>
            <w:vAlign w:val="center"/>
          </w:tcPr>
          <w:p w:rsidR="00276A59" w:rsidRDefault="00276A59">
            <w:pPr>
              <w:rPr>
                <w:b/>
                <w:bCs/>
                <w:lang w:eastAsia="en-US"/>
              </w:rPr>
            </w:pPr>
            <w:r>
              <w:rPr>
                <w:b/>
                <w:bCs/>
                <w:lang w:eastAsia="en-US"/>
              </w:rPr>
              <w:t>27</w:t>
            </w:r>
          </w:p>
        </w:tc>
        <w:tc>
          <w:tcPr>
            <w:tcW w:w="4857" w:type="dxa"/>
            <w:tcBorders>
              <w:top w:val="single" w:sz="4" w:space="0" w:color="auto"/>
              <w:left w:val="single" w:sz="4" w:space="0" w:color="auto"/>
              <w:bottom w:val="single" w:sz="4" w:space="0" w:color="auto"/>
              <w:right w:val="single" w:sz="4" w:space="0" w:color="auto"/>
            </w:tcBorders>
            <w:vAlign w:val="center"/>
            <w:hideMark/>
          </w:tcPr>
          <w:p w:rsidR="00276A59" w:rsidRDefault="00276A59" w:rsidP="00B361D9">
            <w:pPr>
              <w:pStyle w:val="a7"/>
              <w:rPr>
                <w:rFonts w:ascii="Times New Roman" w:hAnsi="Times New Roman" w:cs="Times New Roman"/>
                <w:noProof/>
              </w:rPr>
            </w:pPr>
            <w:r w:rsidRPr="00276A59">
              <w:rPr>
                <w:rFonts w:ascii="Times New Roman" w:hAnsi="Times New Roman" w:cs="Times New Roman"/>
                <w:noProof/>
              </w:rPr>
              <w:t>Катетер кардиологический диагностический</w:t>
            </w:r>
          </w:p>
        </w:tc>
        <w:tc>
          <w:tcPr>
            <w:tcW w:w="8972" w:type="dxa"/>
            <w:tcBorders>
              <w:top w:val="single" w:sz="4" w:space="0" w:color="auto"/>
              <w:left w:val="single" w:sz="4" w:space="0" w:color="auto"/>
              <w:bottom w:val="single" w:sz="4" w:space="0" w:color="auto"/>
              <w:right w:val="single" w:sz="4" w:space="0" w:color="auto"/>
            </w:tcBorders>
            <w:vAlign w:val="center"/>
            <w:hideMark/>
          </w:tcPr>
          <w:p w:rsidR="00276A59" w:rsidRPr="00276A59" w:rsidRDefault="00276A59" w:rsidP="00F72143">
            <w:pPr>
              <w:pStyle w:val="Default"/>
              <w:jc w:val="both"/>
              <w:rPr>
                <w:rFonts w:eastAsia="Times New Roman"/>
                <w:sz w:val="21"/>
                <w:szCs w:val="21"/>
              </w:rPr>
            </w:pPr>
            <w:r w:rsidRPr="00276A59">
              <w:rPr>
                <w:rFonts w:eastAsia="Times New Roman"/>
                <w:sz w:val="21"/>
                <w:szCs w:val="21"/>
              </w:rPr>
              <w:t>Катетер диагностический для проведения коронарографии. Различные варианты дизайна кончика: Judkins Left, Judkins left с коротким кончиком, Judkins right, Judkins right с коротким кончиком, Judkins right модифицированный, Amplatz left, Amplatz right, левый коронарный bypass, правый коронарный bypass, Progressive right, Internal mammary, cardial pigtail, педиатрический Pigtail, педиатрический Judkins right и left, многоцелевой, Sones. Длина катетеров 40, 50, 60, 65, 70, 80, 90, 100, 110.125 см</w:t>
            </w:r>
            <w:proofErr w:type="gramStart"/>
            <w:r w:rsidRPr="00276A59">
              <w:rPr>
                <w:rFonts w:eastAsia="Times New Roman"/>
                <w:sz w:val="21"/>
                <w:szCs w:val="21"/>
              </w:rPr>
              <w:t xml:space="preserve">,. </w:t>
            </w:r>
            <w:proofErr w:type="gramEnd"/>
            <w:r w:rsidRPr="00276A59">
              <w:rPr>
                <w:rFonts w:eastAsia="Times New Roman"/>
                <w:sz w:val="21"/>
                <w:szCs w:val="21"/>
              </w:rPr>
              <w:t xml:space="preserve">Размер катетеров 3 (для педиатрических FEP), 4, 5 и 6F, Внутренний диаметр для катетеров 4F 0.042" (1.07мм), 0.046" (1.17мм) и 0.052" (1.32мм) для катетеров 5F, 0.054" (1.37мм) и 0.059" (1.49мм) для катетеров 6F. Различная длина кончика катетеров.  Рекомендованный проводник от 0.021" до 0.038" (в зависимости от размера катетера). Наличие катетеров с увеличенным просветом. Наличие катетеров с конфигруцией кончика типа bumper tip (упругий кончик). Двойная стальная оплетка стенок катетеров, наличие катетеров без оплетки. Материал катетера нейлон пебакс. Материал втулки катетера поликарбонат. Конфигурация втулки: крылья. Максимальное давление 1200psi (81, 6 bar). </w:t>
            </w:r>
            <w:proofErr w:type="gramStart"/>
            <w:r w:rsidRPr="00276A59">
              <w:rPr>
                <w:rFonts w:eastAsia="Times New Roman"/>
                <w:sz w:val="21"/>
                <w:szCs w:val="21"/>
              </w:rPr>
              <w:t>Упакован</w:t>
            </w:r>
            <w:proofErr w:type="gramEnd"/>
            <w:r w:rsidRPr="00276A59">
              <w:rPr>
                <w:rFonts w:eastAsia="Times New Roman"/>
                <w:sz w:val="21"/>
                <w:szCs w:val="21"/>
              </w:rPr>
              <w:t xml:space="preserve"> в стерильную упаковку.</w:t>
            </w:r>
          </w:p>
        </w:tc>
      </w:tr>
      <w:tr w:rsidR="00276A59" w:rsidTr="00BB454F">
        <w:trPr>
          <w:trHeight w:val="783"/>
          <w:jc w:val="center"/>
        </w:trPr>
        <w:tc>
          <w:tcPr>
            <w:tcW w:w="957" w:type="dxa"/>
            <w:tcBorders>
              <w:top w:val="single" w:sz="4" w:space="0" w:color="auto"/>
              <w:left w:val="single" w:sz="4" w:space="0" w:color="auto"/>
              <w:bottom w:val="single" w:sz="4" w:space="0" w:color="auto"/>
              <w:right w:val="single" w:sz="4" w:space="0" w:color="auto"/>
            </w:tcBorders>
            <w:vAlign w:val="center"/>
          </w:tcPr>
          <w:p w:rsidR="00276A59" w:rsidRDefault="00276A59">
            <w:pPr>
              <w:rPr>
                <w:b/>
                <w:bCs/>
                <w:lang w:eastAsia="en-US"/>
              </w:rPr>
            </w:pPr>
            <w:r>
              <w:rPr>
                <w:b/>
                <w:bCs/>
                <w:lang w:eastAsia="en-US"/>
              </w:rPr>
              <w:t>28</w:t>
            </w:r>
          </w:p>
        </w:tc>
        <w:tc>
          <w:tcPr>
            <w:tcW w:w="4857" w:type="dxa"/>
            <w:tcBorders>
              <w:top w:val="single" w:sz="4" w:space="0" w:color="auto"/>
              <w:left w:val="single" w:sz="4" w:space="0" w:color="auto"/>
              <w:bottom w:val="single" w:sz="4" w:space="0" w:color="auto"/>
              <w:right w:val="single" w:sz="4" w:space="0" w:color="auto"/>
            </w:tcBorders>
            <w:vAlign w:val="center"/>
            <w:hideMark/>
          </w:tcPr>
          <w:p w:rsidR="00276A59" w:rsidRDefault="00276A59" w:rsidP="00B361D9">
            <w:pPr>
              <w:pStyle w:val="a7"/>
              <w:rPr>
                <w:rFonts w:ascii="Times New Roman" w:hAnsi="Times New Roman" w:cs="Times New Roman"/>
                <w:noProof/>
              </w:rPr>
            </w:pPr>
            <w:r w:rsidRPr="00276A59">
              <w:rPr>
                <w:rFonts w:ascii="Times New Roman" w:hAnsi="Times New Roman" w:cs="Times New Roman"/>
                <w:noProof/>
              </w:rPr>
              <w:t>Индефлятор</w:t>
            </w:r>
            <w:r>
              <w:rPr>
                <w:rFonts w:ascii="Times New Roman" w:hAnsi="Times New Roman" w:cs="Times New Roman"/>
                <w:noProof/>
              </w:rPr>
              <w:t xml:space="preserve"> </w:t>
            </w:r>
            <w:r w:rsidRPr="00276A59">
              <w:rPr>
                <w:rFonts w:ascii="Times New Roman" w:hAnsi="Times New Roman" w:cs="Times New Roman"/>
                <w:noProof/>
              </w:rPr>
              <w:t>аналоговый</w:t>
            </w:r>
          </w:p>
        </w:tc>
        <w:tc>
          <w:tcPr>
            <w:tcW w:w="8972" w:type="dxa"/>
            <w:tcBorders>
              <w:top w:val="single" w:sz="4" w:space="0" w:color="auto"/>
              <w:left w:val="single" w:sz="4" w:space="0" w:color="auto"/>
              <w:bottom w:val="single" w:sz="4" w:space="0" w:color="auto"/>
              <w:right w:val="single" w:sz="4" w:space="0" w:color="auto"/>
            </w:tcBorders>
            <w:vAlign w:val="center"/>
            <w:hideMark/>
          </w:tcPr>
          <w:p w:rsidR="00276A59" w:rsidRPr="00276A59" w:rsidRDefault="00276A59" w:rsidP="00F72143">
            <w:pPr>
              <w:pStyle w:val="Default"/>
              <w:jc w:val="both"/>
              <w:rPr>
                <w:rFonts w:eastAsia="Times New Roman"/>
                <w:sz w:val="21"/>
                <w:szCs w:val="21"/>
              </w:rPr>
            </w:pPr>
            <w:r w:rsidRPr="00276A59">
              <w:rPr>
                <w:rFonts w:eastAsia="Times New Roman"/>
                <w:sz w:val="21"/>
                <w:szCs w:val="21"/>
              </w:rPr>
              <w:t xml:space="preserve">Шприц-манометр  для создания и мониторинга давления в пределах от -1 до 30 </w:t>
            </w:r>
            <w:proofErr w:type="gramStart"/>
            <w:r w:rsidRPr="00276A59">
              <w:rPr>
                <w:rFonts w:eastAsia="Times New Roman"/>
                <w:sz w:val="21"/>
                <w:szCs w:val="21"/>
              </w:rPr>
              <w:t>АТМ</w:t>
            </w:r>
            <w:proofErr w:type="gramEnd"/>
            <w:r w:rsidRPr="00276A59">
              <w:rPr>
                <w:rFonts w:eastAsia="Times New Roman"/>
                <w:sz w:val="21"/>
                <w:szCs w:val="21"/>
              </w:rPr>
              <w:t xml:space="preserve">/бар (-14,7 до +441 PSI) с точностью ± 1 АТМ/бар для инфляции и дефляции ангио пластического баллона или других интервенционных устройств, а также для измерения давления внутри баллона. Материал корпуса прозрачный поликарбонат; объем не менее 20 мл, оборудовано безвоздушным ротатором, обеспечивающим безвоздушное соединение с баллонным катетером. Наличие гибкой трубкой высокого давления с двойным плетением длиной 35.5 см (13") и 3-ходового краника. Устройство оборудовано поршнем с запирающим/высвобождающим механизмом PrimeLoc. Механизм PrimeLok позволяет удалить воздух и чрезмерную жидкость без сжимания спускового устройства (триггера).   Поверхность рукоятки рифленая для исключения соскальзывания рук оператора. Устройство аналоговое, для создания давления не менее 30 </w:t>
            </w:r>
            <w:proofErr w:type="gramStart"/>
            <w:r w:rsidRPr="00276A59">
              <w:rPr>
                <w:rFonts w:eastAsia="Times New Roman"/>
                <w:sz w:val="21"/>
                <w:szCs w:val="21"/>
              </w:rPr>
              <w:t>атм</w:t>
            </w:r>
            <w:proofErr w:type="gramEnd"/>
            <w:r w:rsidRPr="00276A59">
              <w:rPr>
                <w:rFonts w:eastAsia="Times New Roman"/>
                <w:sz w:val="21"/>
                <w:szCs w:val="21"/>
              </w:rPr>
              <w:t xml:space="preserve"> (для проведения </w:t>
            </w:r>
            <w:r w:rsidRPr="00276A59">
              <w:rPr>
                <w:rFonts w:eastAsia="Times New Roman"/>
                <w:sz w:val="21"/>
                <w:szCs w:val="21"/>
              </w:rPr>
              <w:lastRenderedPageBreak/>
              <w:t>ангиопластик высокого давления и измерения давления). Поршень, расположенный в корпусе, имеет тройное кольцо (для исключения протекания колбы), на конце поршень имеет форму острия для образования «безопасного пространства», с целью минимизации попадания воздуха. Дисплей с флюоресцирующим фоном расположен под углом 30° по отношению к корпусу прибора для лучшей  визуализации оператором.  Различные варианты комплектации: 1) краник трехходовой, с прозрачным корпусом, крутящийся, гемостатический клапан (Y-коннектора), торкдевайс (для управления коронарным проводником), «тупая» игла для бережного проведения коронарного проводника через гемостатический клапан. 2) шприцы ангиографические 10мл с красным и желтым поршнем с надписью нитро и гепарин на корпусе, 3-ходовый краник, упакованный отдельно.</w:t>
            </w:r>
          </w:p>
        </w:tc>
      </w:tr>
      <w:tr w:rsidR="00276A59" w:rsidTr="00BB454F">
        <w:trPr>
          <w:trHeight w:val="783"/>
          <w:jc w:val="center"/>
        </w:trPr>
        <w:tc>
          <w:tcPr>
            <w:tcW w:w="957" w:type="dxa"/>
            <w:tcBorders>
              <w:top w:val="single" w:sz="4" w:space="0" w:color="auto"/>
              <w:left w:val="single" w:sz="4" w:space="0" w:color="auto"/>
              <w:bottom w:val="single" w:sz="4" w:space="0" w:color="auto"/>
              <w:right w:val="single" w:sz="4" w:space="0" w:color="auto"/>
            </w:tcBorders>
            <w:vAlign w:val="center"/>
          </w:tcPr>
          <w:p w:rsidR="00276A59" w:rsidRDefault="00276A59">
            <w:pPr>
              <w:rPr>
                <w:b/>
                <w:bCs/>
                <w:lang w:eastAsia="en-US"/>
              </w:rPr>
            </w:pPr>
            <w:r>
              <w:rPr>
                <w:b/>
                <w:bCs/>
                <w:lang w:eastAsia="en-US"/>
              </w:rPr>
              <w:lastRenderedPageBreak/>
              <w:t>29</w:t>
            </w:r>
          </w:p>
        </w:tc>
        <w:tc>
          <w:tcPr>
            <w:tcW w:w="4857" w:type="dxa"/>
            <w:tcBorders>
              <w:top w:val="single" w:sz="4" w:space="0" w:color="auto"/>
              <w:left w:val="single" w:sz="4" w:space="0" w:color="auto"/>
              <w:bottom w:val="single" w:sz="4" w:space="0" w:color="auto"/>
              <w:right w:val="single" w:sz="4" w:space="0" w:color="auto"/>
            </w:tcBorders>
            <w:vAlign w:val="center"/>
            <w:hideMark/>
          </w:tcPr>
          <w:p w:rsidR="00276A59" w:rsidRDefault="00276A59" w:rsidP="00B361D9">
            <w:pPr>
              <w:pStyle w:val="a7"/>
              <w:rPr>
                <w:rFonts w:ascii="Times New Roman" w:hAnsi="Times New Roman" w:cs="Times New Roman"/>
                <w:noProof/>
              </w:rPr>
            </w:pPr>
            <w:r w:rsidRPr="00276A59">
              <w:rPr>
                <w:rFonts w:ascii="Times New Roman" w:hAnsi="Times New Roman" w:cs="Times New Roman"/>
                <w:noProof/>
              </w:rPr>
              <w:t>Переносной мешок для инфузии под давлением</w:t>
            </w:r>
          </w:p>
        </w:tc>
        <w:tc>
          <w:tcPr>
            <w:tcW w:w="8972" w:type="dxa"/>
            <w:tcBorders>
              <w:top w:val="single" w:sz="4" w:space="0" w:color="auto"/>
              <w:left w:val="single" w:sz="4" w:space="0" w:color="auto"/>
              <w:bottom w:val="single" w:sz="4" w:space="0" w:color="auto"/>
              <w:right w:val="single" w:sz="4" w:space="0" w:color="auto"/>
            </w:tcBorders>
            <w:vAlign w:val="center"/>
            <w:hideMark/>
          </w:tcPr>
          <w:p w:rsidR="00276A59" w:rsidRPr="00276A59" w:rsidRDefault="00276A59" w:rsidP="00F72143">
            <w:pPr>
              <w:pStyle w:val="Default"/>
              <w:jc w:val="both"/>
              <w:rPr>
                <w:rFonts w:eastAsia="Times New Roman"/>
                <w:sz w:val="21"/>
                <w:szCs w:val="21"/>
              </w:rPr>
            </w:pPr>
            <w:r w:rsidRPr="00276A59">
              <w:rPr>
                <w:rFonts w:eastAsia="Times New Roman"/>
                <w:sz w:val="21"/>
                <w:szCs w:val="21"/>
              </w:rPr>
              <w:t xml:space="preserve">Переносной мешок для инфузии под давлением. Состоит из мешка с трубкой, краником и грушей на конце (белого цвета). </w:t>
            </w:r>
            <w:proofErr w:type="gramStart"/>
            <w:r w:rsidRPr="00276A59">
              <w:rPr>
                <w:rFonts w:eastAsia="Times New Roman"/>
                <w:sz w:val="21"/>
                <w:szCs w:val="21"/>
              </w:rPr>
              <w:t>Изготовлен</w:t>
            </w:r>
            <w:proofErr w:type="gramEnd"/>
            <w:r w:rsidRPr="00276A59">
              <w:rPr>
                <w:rFonts w:eastAsia="Times New Roman"/>
                <w:sz w:val="21"/>
                <w:szCs w:val="21"/>
              </w:rPr>
              <w:t xml:space="preserve"> из нейлона. Без латекса. Не стерильный. Объем мешка 500 или 1000 мл. Клапан с кнопкой, обеспечивающий регуляцию давления в мешке и скорость тока жидкости. На кнопке клапана имеются деления и цветовая кодировка, которые показывает величину создаваемого давления. Две опции: 1) одно нажатие - стандартное давление; 2) два нажатия - для установки повышенного давления и быстрой инфузии. Имеется жесткая ручка зеленого цвета - для подвешивания к капельнице.</w:t>
            </w:r>
          </w:p>
        </w:tc>
      </w:tr>
      <w:tr w:rsidR="00276A59" w:rsidTr="00BB454F">
        <w:trPr>
          <w:trHeight w:val="783"/>
          <w:jc w:val="center"/>
        </w:trPr>
        <w:tc>
          <w:tcPr>
            <w:tcW w:w="957" w:type="dxa"/>
            <w:tcBorders>
              <w:top w:val="single" w:sz="4" w:space="0" w:color="auto"/>
              <w:left w:val="single" w:sz="4" w:space="0" w:color="auto"/>
              <w:bottom w:val="single" w:sz="4" w:space="0" w:color="auto"/>
              <w:right w:val="single" w:sz="4" w:space="0" w:color="auto"/>
            </w:tcBorders>
            <w:vAlign w:val="center"/>
          </w:tcPr>
          <w:p w:rsidR="00276A59" w:rsidRDefault="00276A59">
            <w:pPr>
              <w:rPr>
                <w:b/>
                <w:bCs/>
                <w:lang w:eastAsia="en-US"/>
              </w:rPr>
            </w:pPr>
            <w:r>
              <w:rPr>
                <w:b/>
                <w:bCs/>
                <w:lang w:eastAsia="en-US"/>
              </w:rPr>
              <w:t>30</w:t>
            </w:r>
          </w:p>
        </w:tc>
        <w:tc>
          <w:tcPr>
            <w:tcW w:w="4857" w:type="dxa"/>
            <w:tcBorders>
              <w:top w:val="single" w:sz="4" w:space="0" w:color="auto"/>
              <w:left w:val="single" w:sz="4" w:space="0" w:color="auto"/>
              <w:bottom w:val="single" w:sz="4" w:space="0" w:color="auto"/>
              <w:right w:val="single" w:sz="4" w:space="0" w:color="auto"/>
            </w:tcBorders>
            <w:vAlign w:val="center"/>
            <w:hideMark/>
          </w:tcPr>
          <w:p w:rsidR="00276A59" w:rsidRDefault="00276A59" w:rsidP="00B361D9">
            <w:pPr>
              <w:pStyle w:val="a7"/>
              <w:rPr>
                <w:rFonts w:ascii="Times New Roman" w:hAnsi="Times New Roman" w:cs="Times New Roman"/>
                <w:noProof/>
              </w:rPr>
            </w:pPr>
            <w:r w:rsidRPr="00276A59">
              <w:rPr>
                <w:rFonts w:ascii="Times New Roman" w:hAnsi="Times New Roman" w:cs="Times New Roman"/>
                <w:noProof/>
              </w:rPr>
              <w:t>Шприц  отрицательного давления</w:t>
            </w:r>
          </w:p>
        </w:tc>
        <w:tc>
          <w:tcPr>
            <w:tcW w:w="8972" w:type="dxa"/>
            <w:tcBorders>
              <w:top w:val="single" w:sz="4" w:space="0" w:color="auto"/>
              <w:left w:val="single" w:sz="4" w:space="0" w:color="auto"/>
              <w:bottom w:val="single" w:sz="4" w:space="0" w:color="auto"/>
              <w:right w:val="single" w:sz="4" w:space="0" w:color="auto"/>
            </w:tcBorders>
            <w:vAlign w:val="center"/>
            <w:hideMark/>
          </w:tcPr>
          <w:p w:rsidR="00276A59" w:rsidRPr="00276A59" w:rsidRDefault="00276A59" w:rsidP="00F72143">
            <w:pPr>
              <w:pStyle w:val="Default"/>
              <w:jc w:val="both"/>
              <w:rPr>
                <w:rFonts w:eastAsia="Times New Roman"/>
                <w:sz w:val="21"/>
                <w:szCs w:val="21"/>
              </w:rPr>
            </w:pPr>
            <w:r w:rsidRPr="00276A59">
              <w:rPr>
                <w:rFonts w:eastAsia="Times New Roman"/>
                <w:sz w:val="21"/>
                <w:szCs w:val="21"/>
              </w:rPr>
              <w:t>Шприц для создания и поддержания отрицательного давления. Материал корпуса прозрачный поликарбонат, не содержит латекса. Вакуумные уровни настройки давления: для шприца 10мл - 1 позиция, для шприца 20мл - 4 позиции и для шприцов 30 и 60мл - 6 позиций.  Объем шприца 10, 20, 30 и 60 мл.</w:t>
            </w:r>
          </w:p>
        </w:tc>
      </w:tr>
    </w:tbl>
    <w:p w:rsidR="0021420A" w:rsidRPr="00276A59" w:rsidRDefault="0021420A" w:rsidP="0021420A">
      <w:pPr>
        <w:ind w:firstLine="567"/>
        <w:jc w:val="both"/>
        <w:rPr>
          <w:sz w:val="22"/>
          <w:szCs w:val="22"/>
          <w:u w:val="single"/>
        </w:rPr>
      </w:pPr>
      <w:r w:rsidRPr="00276A59">
        <w:rPr>
          <w:sz w:val="22"/>
          <w:szCs w:val="22"/>
          <w:u w:val="single"/>
        </w:rPr>
        <w:t xml:space="preserve">Потенциальные поставщики должны гарантировать выполнение следующих сопутствующих услуг: </w:t>
      </w:r>
    </w:p>
    <w:p w:rsidR="0021420A" w:rsidRPr="00276A59" w:rsidRDefault="0021420A" w:rsidP="0021420A">
      <w:pPr>
        <w:tabs>
          <w:tab w:val="left" w:pos="1170"/>
        </w:tabs>
        <w:rPr>
          <w:sz w:val="22"/>
          <w:szCs w:val="22"/>
        </w:rPr>
      </w:pPr>
      <w:r w:rsidRPr="00276A59">
        <w:rPr>
          <w:sz w:val="22"/>
          <w:szCs w:val="22"/>
        </w:rPr>
        <w:t>1) Потенциальные поставщики обязаны обеспечить доставку медицинских</w:t>
      </w:r>
      <w:r w:rsidR="0066313A" w:rsidRPr="00276A59">
        <w:rPr>
          <w:sz w:val="22"/>
          <w:szCs w:val="22"/>
        </w:rPr>
        <w:t xml:space="preserve"> </w:t>
      </w:r>
      <w:r w:rsidRPr="00276A59">
        <w:rPr>
          <w:sz w:val="22"/>
          <w:szCs w:val="22"/>
        </w:rPr>
        <w:t>изделий</w:t>
      </w:r>
      <w:r w:rsidR="0066313A" w:rsidRPr="00276A59">
        <w:rPr>
          <w:sz w:val="22"/>
          <w:szCs w:val="22"/>
        </w:rPr>
        <w:t xml:space="preserve"> </w:t>
      </w:r>
      <w:r w:rsidRPr="00276A59">
        <w:rPr>
          <w:sz w:val="22"/>
          <w:szCs w:val="22"/>
        </w:rPr>
        <w:t>в полном объеме непосредственно до КГП на ПХВ</w:t>
      </w:r>
      <w:proofErr w:type="gramStart"/>
      <w:r w:rsidRPr="00276A59">
        <w:rPr>
          <w:sz w:val="22"/>
          <w:szCs w:val="22"/>
        </w:rPr>
        <w:t>"М</w:t>
      </w:r>
      <w:proofErr w:type="gramEnd"/>
      <w:r w:rsidRPr="00276A59">
        <w:rPr>
          <w:sz w:val="22"/>
          <w:szCs w:val="22"/>
        </w:rPr>
        <w:t>ногопрофильная больница имени профессора Х.Ж.Макажанова" управления здравоохранения Карагандинской области</w:t>
      </w:r>
    </w:p>
    <w:p w:rsidR="0021420A" w:rsidRPr="00276A59" w:rsidRDefault="0021420A" w:rsidP="0021420A">
      <w:pPr>
        <w:pStyle w:val="a7"/>
        <w:rPr>
          <w:rFonts w:ascii="Times New Roman" w:hAnsi="Times New Roman" w:cs="Times New Roman"/>
        </w:rPr>
      </w:pPr>
      <w:r w:rsidRPr="00276A59">
        <w:rPr>
          <w:rFonts w:ascii="Times New Roman" w:hAnsi="Times New Roman" w:cs="Times New Roman"/>
        </w:rPr>
        <w:t>г</w:t>
      </w:r>
      <w:proofErr w:type="gramStart"/>
      <w:r w:rsidRPr="00276A59">
        <w:rPr>
          <w:rFonts w:ascii="Times New Roman" w:hAnsi="Times New Roman" w:cs="Times New Roman"/>
        </w:rPr>
        <w:t>.К</w:t>
      </w:r>
      <w:proofErr w:type="gramEnd"/>
      <w:r w:rsidRPr="00276A59">
        <w:rPr>
          <w:rFonts w:ascii="Times New Roman" w:hAnsi="Times New Roman" w:cs="Times New Roman"/>
        </w:rPr>
        <w:t>араганда, ул.Муканова 5/3.</w:t>
      </w:r>
    </w:p>
    <w:p w:rsidR="0021420A" w:rsidRPr="00276A59" w:rsidRDefault="0021420A" w:rsidP="00DB16A3">
      <w:pPr>
        <w:jc w:val="both"/>
        <w:rPr>
          <w:sz w:val="22"/>
          <w:szCs w:val="22"/>
        </w:rPr>
      </w:pPr>
      <w:r w:rsidRPr="00276A59">
        <w:rPr>
          <w:sz w:val="22"/>
          <w:szCs w:val="22"/>
        </w:rPr>
        <w:t>2) Обеспечить страховку товара, соответствующее  его хранение при прохождении таможенной  очистки, уплату таможенных пошлин, налогов, сборов и любые  другие  вспомогательные  услуги,  подлежащие  выполнению  потенциальным  поставщиком на  всем  протяжении  транспортировки медицинских</w:t>
      </w:r>
      <w:r w:rsidR="0066313A" w:rsidRPr="00276A59">
        <w:rPr>
          <w:sz w:val="22"/>
          <w:szCs w:val="22"/>
        </w:rPr>
        <w:t xml:space="preserve"> </w:t>
      </w:r>
      <w:r w:rsidRPr="00276A59">
        <w:rPr>
          <w:sz w:val="22"/>
          <w:szCs w:val="22"/>
        </w:rPr>
        <w:t>изделий</w:t>
      </w:r>
      <w:bookmarkStart w:id="0" w:name="_GoBack"/>
      <w:bookmarkEnd w:id="0"/>
      <w:r w:rsidR="0066313A" w:rsidRPr="00276A59">
        <w:rPr>
          <w:sz w:val="22"/>
          <w:szCs w:val="22"/>
        </w:rPr>
        <w:t xml:space="preserve"> </w:t>
      </w:r>
      <w:r w:rsidRPr="00276A59">
        <w:rPr>
          <w:sz w:val="22"/>
          <w:szCs w:val="22"/>
        </w:rPr>
        <w:t xml:space="preserve">до момента  </w:t>
      </w:r>
      <w:r w:rsidR="00723E07" w:rsidRPr="00276A59">
        <w:rPr>
          <w:sz w:val="22"/>
          <w:szCs w:val="22"/>
        </w:rPr>
        <w:t xml:space="preserve">поставки  конечному  получателю, </w:t>
      </w:r>
      <w:r w:rsidR="009C5397" w:rsidRPr="00276A59">
        <w:rPr>
          <w:sz w:val="22"/>
          <w:szCs w:val="22"/>
        </w:rPr>
        <w:t xml:space="preserve">при поставке </w:t>
      </w:r>
      <w:r w:rsidR="00723E07" w:rsidRPr="00276A59">
        <w:rPr>
          <w:sz w:val="22"/>
          <w:szCs w:val="22"/>
        </w:rPr>
        <w:t xml:space="preserve">предоставить  сертификат  </w:t>
      </w:r>
      <w:r w:rsidR="009C5397" w:rsidRPr="00276A59">
        <w:rPr>
          <w:sz w:val="22"/>
          <w:szCs w:val="22"/>
        </w:rPr>
        <w:t xml:space="preserve">на медицинские изделия  </w:t>
      </w:r>
      <w:r w:rsidR="00723E07" w:rsidRPr="00276A59">
        <w:rPr>
          <w:sz w:val="22"/>
          <w:szCs w:val="22"/>
        </w:rPr>
        <w:t>установленного образца</w:t>
      </w:r>
      <w:r w:rsidR="009C5397" w:rsidRPr="00276A59">
        <w:rPr>
          <w:sz w:val="22"/>
          <w:szCs w:val="22"/>
        </w:rPr>
        <w:t>.</w:t>
      </w:r>
      <w:r w:rsidR="00723E07" w:rsidRPr="00276A59">
        <w:rPr>
          <w:sz w:val="22"/>
          <w:szCs w:val="22"/>
        </w:rPr>
        <w:t xml:space="preserve"> </w:t>
      </w:r>
    </w:p>
    <w:p w:rsidR="00DB16A3" w:rsidRDefault="00DB16A3" w:rsidP="00DB16A3">
      <w:pPr>
        <w:jc w:val="both"/>
        <w:rPr>
          <w:b/>
        </w:rPr>
      </w:pPr>
    </w:p>
    <w:p w:rsidR="0021420A" w:rsidRDefault="0021420A" w:rsidP="0021420A">
      <w:pPr>
        <w:tabs>
          <w:tab w:val="left" w:pos="1386"/>
        </w:tabs>
        <w:rPr>
          <w:b/>
        </w:rPr>
      </w:pPr>
      <w:r>
        <w:rPr>
          <w:b/>
        </w:rPr>
        <w:t>Организатор тендера</w:t>
      </w:r>
      <w:r w:rsidR="00606C59">
        <w:rPr>
          <w:b/>
        </w:rPr>
        <w:t>.</w:t>
      </w:r>
      <w:r>
        <w:rPr>
          <w:b/>
        </w:rPr>
        <w:t xml:space="preserve"> </w:t>
      </w:r>
    </w:p>
    <w:p w:rsidR="0021420A" w:rsidRDefault="0021420A" w:rsidP="0021420A">
      <w:pPr>
        <w:tabs>
          <w:tab w:val="left" w:pos="1170"/>
        </w:tabs>
        <w:rPr>
          <w:b/>
        </w:rPr>
      </w:pPr>
      <w:r>
        <w:rPr>
          <w:b/>
        </w:rPr>
        <w:t>КГП на ПХВ</w:t>
      </w:r>
      <w:proofErr w:type="gramStart"/>
      <w:r>
        <w:rPr>
          <w:b/>
        </w:rPr>
        <w:t>"М</w:t>
      </w:r>
      <w:proofErr w:type="gramEnd"/>
      <w:r>
        <w:rPr>
          <w:b/>
        </w:rPr>
        <w:t xml:space="preserve">ногопрофильная больница имени </w:t>
      </w:r>
    </w:p>
    <w:p w:rsidR="0021420A" w:rsidRDefault="0021420A" w:rsidP="0021420A">
      <w:pPr>
        <w:tabs>
          <w:tab w:val="left" w:pos="1170"/>
        </w:tabs>
        <w:rPr>
          <w:b/>
        </w:rPr>
      </w:pPr>
      <w:r>
        <w:rPr>
          <w:b/>
        </w:rPr>
        <w:t xml:space="preserve">профессора Х.Ж.Макажанова" управления </w:t>
      </w:r>
    </w:p>
    <w:p w:rsidR="0021420A" w:rsidRDefault="0021420A" w:rsidP="0021420A">
      <w:pPr>
        <w:tabs>
          <w:tab w:val="left" w:pos="1170"/>
        </w:tabs>
        <w:rPr>
          <w:b/>
        </w:rPr>
      </w:pPr>
      <w:r>
        <w:rPr>
          <w:b/>
        </w:rPr>
        <w:t>здравоохранения Карагандинской области</w:t>
      </w:r>
    </w:p>
    <w:p w:rsidR="0021420A" w:rsidRDefault="009C5397" w:rsidP="0021420A">
      <w:r>
        <w:rPr>
          <w:b/>
        </w:rPr>
        <w:t xml:space="preserve">                                                        </w:t>
      </w:r>
      <w:r w:rsidR="001901CE">
        <w:rPr>
          <w:b/>
        </w:rPr>
        <w:t>И.о</w:t>
      </w:r>
      <w:proofErr w:type="gramStart"/>
      <w:r w:rsidR="001901CE">
        <w:rPr>
          <w:b/>
        </w:rPr>
        <w:t>.</w:t>
      </w:r>
      <w:r w:rsidR="0021420A">
        <w:rPr>
          <w:b/>
        </w:rPr>
        <w:t>Д</w:t>
      </w:r>
      <w:proofErr w:type="gramEnd"/>
      <w:r w:rsidR="0021420A">
        <w:rPr>
          <w:b/>
        </w:rPr>
        <w:t>иректор</w:t>
      </w:r>
      <w:r w:rsidR="001901CE">
        <w:rPr>
          <w:b/>
        </w:rPr>
        <w:t>а</w:t>
      </w:r>
      <w:r w:rsidR="0021420A">
        <w:rPr>
          <w:b/>
        </w:rPr>
        <w:t xml:space="preserve">      </w:t>
      </w:r>
      <w:r>
        <w:rPr>
          <w:b/>
        </w:rPr>
        <w:t xml:space="preserve">                                                      </w:t>
      </w:r>
      <w:r w:rsidR="001901CE">
        <w:rPr>
          <w:b/>
        </w:rPr>
        <w:t>Аймагамбетов Е.М</w:t>
      </w:r>
      <w:r w:rsidRPr="00505A15">
        <w:rPr>
          <w:b/>
        </w:rPr>
        <w:t>.</w:t>
      </w:r>
      <w:r w:rsidR="0021420A">
        <w:rPr>
          <w:b/>
        </w:rPr>
        <w:t xml:space="preserve">                                                                                                                  </w:t>
      </w:r>
      <w:r w:rsidR="00EB3FA3">
        <w:rPr>
          <w:b/>
        </w:rPr>
        <w:t xml:space="preserve">                                          </w:t>
      </w:r>
    </w:p>
    <w:sectPr w:rsidR="0021420A" w:rsidSect="00C126A3">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10"/>
  <w:displayHorizontalDrawingGridEvery w:val="2"/>
  <w:characterSpacingControl w:val="doNotCompress"/>
  <w:compat/>
  <w:rsids>
    <w:rsidRoot w:val="00C126A3"/>
    <w:rsid w:val="000018A1"/>
    <w:rsid w:val="00004013"/>
    <w:rsid w:val="00021C79"/>
    <w:rsid w:val="00075388"/>
    <w:rsid w:val="000A2974"/>
    <w:rsid w:val="000B6934"/>
    <w:rsid w:val="000E1D75"/>
    <w:rsid w:val="000F2583"/>
    <w:rsid w:val="00100BCD"/>
    <w:rsid w:val="001224B1"/>
    <w:rsid w:val="001345E5"/>
    <w:rsid w:val="00142A62"/>
    <w:rsid w:val="00144E60"/>
    <w:rsid w:val="00172A7C"/>
    <w:rsid w:val="001901CE"/>
    <w:rsid w:val="001A05B2"/>
    <w:rsid w:val="001B46BA"/>
    <w:rsid w:val="001C4E7A"/>
    <w:rsid w:val="001D58E9"/>
    <w:rsid w:val="002001D1"/>
    <w:rsid w:val="00213407"/>
    <w:rsid w:val="0021420A"/>
    <w:rsid w:val="00252E1A"/>
    <w:rsid w:val="00262FC7"/>
    <w:rsid w:val="00267630"/>
    <w:rsid w:val="0027457B"/>
    <w:rsid w:val="00276A59"/>
    <w:rsid w:val="00276CAD"/>
    <w:rsid w:val="002B14F9"/>
    <w:rsid w:val="002D797E"/>
    <w:rsid w:val="002E1F35"/>
    <w:rsid w:val="002E774E"/>
    <w:rsid w:val="00335E65"/>
    <w:rsid w:val="00347C2A"/>
    <w:rsid w:val="003618A2"/>
    <w:rsid w:val="003832A2"/>
    <w:rsid w:val="003A1C38"/>
    <w:rsid w:val="003A79DC"/>
    <w:rsid w:val="003B2409"/>
    <w:rsid w:val="003B2F34"/>
    <w:rsid w:val="003D1062"/>
    <w:rsid w:val="003D13F6"/>
    <w:rsid w:val="003D5501"/>
    <w:rsid w:val="003F0BD3"/>
    <w:rsid w:val="00412A3E"/>
    <w:rsid w:val="00420AF0"/>
    <w:rsid w:val="00464F28"/>
    <w:rsid w:val="00467E73"/>
    <w:rsid w:val="00496FB5"/>
    <w:rsid w:val="004F3512"/>
    <w:rsid w:val="004F779D"/>
    <w:rsid w:val="005246F4"/>
    <w:rsid w:val="00536147"/>
    <w:rsid w:val="0054785D"/>
    <w:rsid w:val="00554B8D"/>
    <w:rsid w:val="00555C03"/>
    <w:rsid w:val="0056585E"/>
    <w:rsid w:val="00574FB4"/>
    <w:rsid w:val="005977AE"/>
    <w:rsid w:val="005B4108"/>
    <w:rsid w:val="00606C59"/>
    <w:rsid w:val="006165E0"/>
    <w:rsid w:val="00630CBF"/>
    <w:rsid w:val="0066313A"/>
    <w:rsid w:val="0069204C"/>
    <w:rsid w:val="006A1C36"/>
    <w:rsid w:val="006B1969"/>
    <w:rsid w:val="006C01B1"/>
    <w:rsid w:val="006D011E"/>
    <w:rsid w:val="006E57B6"/>
    <w:rsid w:val="006F01C5"/>
    <w:rsid w:val="006F17BE"/>
    <w:rsid w:val="006F4F09"/>
    <w:rsid w:val="00714976"/>
    <w:rsid w:val="00723E07"/>
    <w:rsid w:val="00736AF8"/>
    <w:rsid w:val="00740D52"/>
    <w:rsid w:val="007767D8"/>
    <w:rsid w:val="0077739D"/>
    <w:rsid w:val="00791A58"/>
    <w:rsid w:val="007B6E2D"/>
    <w:rsid w:val="007D1DC1"/>
    <w:rsid w:val="007F7626"/>
    <w:rsid w:val="00814170"/>
    <w:rsid w:val="0088785F"/>
    <w:rsid w:val="008E5211"/>
    <w:rsid w:val="00906050"/>
    <w:rsid w:val="00954F8F"/>
    <w:rsid w:val="009617CF"/>
    <w:rsid w:val="00972F75"/>
    <w:rsid w:val="009752EC"/>
    <w:rsid w:val="009756F5"/>
    <w:rsid w:val="009A02CE"/>
    <w:rsid w:val="009C13EE"/>
    <w:rsid w:val="009C2230"/>
    <w:rsid w:val="009C5397"/>
    <w:rsid w:val="00A0317C"/>
    <w:rsid w:val="00A10ACF"/>
    <w:rsid w:val="00A20840"/>
    <w:rsid w:val="00AA2409"/>
    <w:rsid w:val="00AC598D"/>
    <w:rsid w:val="00AD20CA"/>
    <w:rsid w:val="00AE64A7"/>
    <w:rsid w:val="00AE7529"/>
    <w:rsid w:val="00B0455A"/>
    <w:rsid w:val="00B1407A"/>
    <w:rsid w:val="00B21C52"/>
    <w:rsid w:val="00B22D0A"/>
    <w:rsid w:val="00B361D9"/>
    <w:rsid w:val="00B363DC"/>
    <w:rsid w:val="00B57A59"/>
    <w:rsid w:val="00B61502"/>
    <w:rsid w:val="00B8002C"/>
    <w:rsid w:val="00B8152C"/>
    <w:rsid w:val="00B85364"/>
    <w:rsid w:val="00BB454F"/>
    <w:rsid w:val="00BC5CCD"/>
    <w:rsid w:val="00C126A3"/>
    <w:rsid w:val="00C53F84"/>
    <w:rsid w:val="00C65CCE"/>
    <w:rsid w:val="00C76BBA"/>
    <w:rsid w:val="00C77EF6"/>
    <w:rsid w:val="00C92F30"/>
    <w:rsid w:val="00CD09CD"/>
    <w:rsid w:val="00CE1478"/>
    <w:rsid w:val="00D170EB"/>
    <w:rsid w:val="00D26163"/>
    <w:rsid w:val="00D366A3"/>
    <w:rsid w:val="00D87C69"/>
    <w:rsid w:val="00DA02A1"/>
    <w:rsid w:val="00DA2781"/>
    <w:rsid w:val="00DA73C9"/>
    <w:rsid w:val="00DB1576"/>
    <w:rsid w:val="00DB16A3"/>
    <w:rsid w:val="00DC1822"/>
    <w:rsid w:val="00DF4B17"/>
    <w:rsid w:val="00E035FB"/>
    <w:rsid w:val="00E447F7"/>
    <w:rsid w:val="00E6277E"/>
    <w:rsid w:val="00E82EDF"/>
    <w:rsid w:val="00E8432D"/>
    <w:rsid w:val="00EA3897"/>
    <w:rsid w:val="00EB3FA3"/>
    <w:rsid w:val="00EB4CC9"/>
    <w:rsid w:val="00EC695F"/>
    <w:rsid w:val="00EC71BD"/>
    <w:rsid w:val="00EE7457"/>
    <w:rsid w:val="00EF670C"/>
    <w:rsid w:val="00F07D46"/>
    <w:rsid w:val="00F172C0"/>
    <w:rsid w:val="00F27B46"/>
    <w:rsid w:val="00F500E5"/>
    <w:rsid w:val="00F56CD8"/>
    <w:rsid w:val="00F662EA"/>
    <w:rsid w:val="00F72143"/>
    <w:rsid w:val="00F8044E"/>
    <w:rsid w:val="00FB772F"/>
    <w:rsid w:val="00FC00F7"/>
    <w:rsid w:val="00FC6D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6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26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semiHidden/>
    <w:unhideWhenUsed/>
    <w:rsid w:val="0021420A"/>
    <w:pPr>
      <w:widowControl w:val="0"/>
      <w:jc w:val="center"/>
    </w:pPr>
    <w:rPr>
      <w:sz w:val="28"/>
      <w:szCs w:val="20"/>
    </w:rPr>
  </w:style>
  <w:style w:type="character" w:customStyle="1" w:styleId="a5">
    <w:name w:val="Основной текст Знак"/>
    <w:basedOn w:val="a0"/>
    <w:link w:val="a4"/>
    <w:semiHidden/>
    <w:rsid w:val="0021420A"/>
    <w:rPr>
      <w:rFonts w:ascii="Times New Roman" w:eastAsia="Times New Roman" w:hAnsi="Times New Roman" w:cs="Times New Roman"/>
      <w:sz w:val="28"/>
      <w:szCs w:val="20"/>
      <w:lang w:eastAsia="ru-RU"/>
    </w:rPr>
  </w:style>
  <w:style w:type="character" w:customStyle="1" w:styleId="a6">
    <w:name w:val="Без интервала Знак"/>
    <w:link w:val="a7"/>
    <w:uiPriority w:val="1"/>
    <w:locked/>
    <w:rsid w:val="0021420A"/>
  </w:style>
  <w:style w:type="paragraph" w:styleId="a7">
    <w:name w:val="No Spacing"/>
    <w:link w:val="a6"/>
    <w:uiPriority w:val="1"/>
    <w:qFormat/>
    <w:rsid w:val="0021420A"/>
    <w:pPr>
      <w:spacing w:after="0" w:line="240" w:lineRule="auto"/>
    </w:pPr>
  </w:style>
  <w:style w:type="paragraph" w:customStyle="1" w:styleId="Default">
    <w:name w:val="Default"/>
    <w:rsid w:val="00AA24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arkedcontent">
    <w:name w:val="markedcontent"/>
    <w:basedOn w:val="a0"/>
    <w:rsid w:val="00554B8D"/>
  </w:style>
  <w:style w:type="character" w:styleId="a8">
    <w:name w:val="annotation reference"/>
    <w:uiPriority w:val="99"/>
    <w:semiHidden/>
    <w:unhideWhenUsed/>
    <w:rsid w:val="00DA02A1"/>
    <w:rPr>
      <w:sz w:val="16"/>
      <w:szCs w:val="16"/>
    </w:rPr>
  </w:style>
  <w:style w:type="paragraph" w:styleId="a9">
    <w:name w:val="Balloon Text"/>
    <w:basedOn w:val="a"/>
    <w:link w:val="aa"/>
    <w:semiHidden/>
    <w:rsid w:val="003F0BD3"/>
    <w:rPr>
      <w:rFonts w:ascii="Tahoma" w:hAnsi="Tahoma"/>
      <w:sz w:val="16"/>
      <w:szCs w:val="16"/>
    </w:rPr>
  </w:style>
  <w:style w:type="character" w:customStyle="1" w:styleId="aa">
    <w:name w:val="Текст выноски Знак"/>
    <w:basedOn w:val="a0"/>
    <w:link w:val="a9"/>
    <w:semiHidden/>
    <w:rsid w:val="003F0BD3"/>
    <w:rPr>
      <w:rFonts w:ascii="Tahoma" w:eastAsia="Times New Roman" w:hAnsi="Tahoma"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52317318">
      <w:bodyDiv w:val="1"/>
      <w:marLeft w:val="0"/>
      <w:marRight w:val="0"/>
      <w:marTop w:val="0"/>
      <w:marBottom w:val="0"/>
      <w:divBdr>
        <w:top w:val="none" w:sz="0" w:space="0" w:color="auto"/>
        <w:left w:val="none" w:sz="0" w:space="0" w:color="auto"/>
        <w:bottom w:val="none" w:sz="0" w:space="0" w:color="auto"/>
        <w:right w:val="none" w:sz="0" w:space="0" w:color="auto"/>
      </w:divBdr>
    </w:div>
    <w:div w:id="66193516">
      <w:bodyDiv w:val="1"/>
      <w:marLeft w:val="0"/>
      <w:marRight w:val="0"/>
      <w:marTop w:val="0"/>
      <w:marBottom w:val="0"/>
      <w:divBdr>
        <w:top w:val="none" w:sz="0" w:space="0" w:color="auto"/>
        <w:left w:val="none" w:sz="0" w:space="0" w:color="auto"/>
        <w:bottom w:val="none" w:sz="0" w:space="0" w:color="auto"/>
        <w:right w:val="none" w:sz="0" w:space="0" w:color="auto"/>
      </w:divBdr>
    </w:div>
    <w:div w:id="70545244">
      <w:bodyDiv w:val="1"/>
      <w:marLeft w:val="0"/>
      <w:marRight w:val="0"/>
      <w:marTop w:val="0"/>
      <w:marBottom w:val="0"/>
      <w:divBdr>
        <w:top w:val="none" w:sz="0" w:space="0" w:color="auto"/>
        <w:left w:val="none" w:sz="0" w:space="0" w:color="auto"/>
        <w:bottom w:val="none" w:sz="0" w:space="0" w:color="auto"/>
        <w:right w:val="none" w:sz="0" w:space="0" w:color="auto"/>
      </w:divBdr>
    </w:div>
    <w:div w:id="112485453">
      <w:bodyDiv w:val="1"/>
      <w:marLeft w:val="0"/>
      <w:marRight w:val="0"/>
      <w:marTop w:val="0"/>
      <w:marBottom w:val="0"/>
      <w:divBdr>
        <w:top w:val="none" w:sz="0" w:space="0" w:color="auto"/>
        <w:left w:val="none" w:sz="0" w:space="0" w:color="auto"/>
        <w:bottom w:val="none" w:sz="0" w:space="0" w:color="auto"/>
        <w:right w:val="none" w:sz="0" w:space="0" w:color="auto"/>
      </w:divBdr>
    </w:div>
    <w:div w:id="191456305">
      <w:bodyDiv w:val="1"/>
      <w:marLeft w:val="0"/>
      <w:marRight w:val="0"/>
      <w:marTop w:val="0"/>
      <w:marBottom w:val="0"/>
      <w:divBdr>
        <w:top w:val="none" w:sz="0" w:space="0" w:color="auto"/>
        <w:left w:val="none" w:sz="0" w:space="0" w:color="auto"/>
        <w:bottom w:val="none" w:sz="0" w:space="0" w:color="auto"/>
        <w:right w:val="none" w:sz="0" w:space="0" w:color="auto"/>
      </w:divBdr>
    </w:div>
    <w:div w:id="258567472">
      <w:bodyDiv w:val="1"/>
      <w:marLeft w:val="0"/>
      <w:marRight w:val="0"/>
      <w:marTop w:val="0"/>
      <w:marBottom w:val="0"/>
      <w:divBdr>
        <w:top w:val="none" w:sz="0" w:space="0" w:color="auto"/>
        <w:left w:val="none" w:sz="0" w:space="0" w:color="auto"/>
        <w:bottom w:val="none" w:sz="0" w:space="0" w:color="auto"/>
        <w:right w:val="none" w:sz="0" w:space="0" w:color="auto"/>
      </w:divBdr>
    </w:div>
    <w:div w:id="273291673">
      <w:bodyDiv w:val="1"/>
      <w:marLeft w:val="0"/>
      <w:marRight w:val="0"/>
      <w:marTop w:val="0"/>
      <w:marBottom w:val="0"/>
      <w:divBdr>
        <w:top w:val="none" w:sz="0" w:space="0" w:color="auto"/>
        <w:left w:val="none" w:sz="0" w:space="0" w:color="auto"/>
        <w:bottom w:val="none" w:sz="0" w:space="0" w:color="auto"/>
        <w:right w:val="none" w:sz="0" w:space="0" w:color="auto"/>
      </w:divBdr>
    </w:div>
    <w:div w:id="360400200">
      <w:bodyDiv w:val="1"/>
      <w:marLeft w:val="0"/>
      <w:marRight w:val="0"/>
      <w:marTop w:val="0"/>
      <w:marBottom w:val="0"/>
      <w:divBdr>
        <w:top w:val="none" w:sz="0" w:space="0" w:color="auto"/>
        <w:left w:val="none" w:sz="0" w:space="0" w:color="auto"/>
        <w:bottom w:val="none" w:sz="0" w:space="0" w:color="auto"/>
        <w:right w:val="none" w:sz="0" w:space="0" w:color="auto"/>
      </w:divBdr>
    </w:div>
    <w:div w:id="370957256">
      <w:bodyDiv w:val="1"/>
      <w:marLeft w:val="0"/>
      <w:marRight w:val="0"/>
      <w:marTop w:val="0"/>
      <w:marBottom w:val="0"/>
      <w:divBdr>
        <w:top w:val="none" w:sz="0" w:space="0" w:color="auto"/>
        <w:left w:val="none" w:sz="0" w:space="0" w:color="auto"/>
        <w:bottom w:val="none" w:sz="0" w:space="0" w:color="auto"/>
        <w:right w:val="none" w:sz="0" w:space="0" w:color="auto"/>
      </w:divBdr>
    </w:div>
    <w:div w:id="572200564">
      <w:bodyDiv w:val="1"/>
      <w:marLeft w:val="0"/>
      <w:marRight w:val="0"/>
      <w:marTop w:val="0"/>
      <w:marBottom w:val="0"/>
      <w:divBdr>
        <w:top w:val="none" w:sz="0" w:space="0" w:color="auto"/>
        <w:left w:val="none" w:sz="0" w:space="0" w:color="auto"/>
        <w:bottom w:val="none" w:sz="0" w:space="0" w:color="auto"/>
        <w:right w:val="none" w:sz="0" w:space="0" w:color="auto"/>
      </w:divBdr>
    </w:div>
    <w:div w:id="656542573">
      <w:bodyDiv w:val="1"/>
      <w:marLeft w:val="0"/>
      <w:marRight w:val="0"/>
      <w:marTop w:val="0"/>
      <w:marBottom w:val="0"/>
      <w:divBdr>
        <w:top w:val="none" w:sz="0" w:space="0" w:color="auto"/>
        <w:left w:val="none" w:sz="0" w:space="0" w:color="auto"/>
        <w:bottom w:val="none" w:sz="0" w:space="0" w:color="auto"/>
        <w:right w:val="none" w:sz="0" w:space="0" w:color="auto"/>
      </w:divBdr>
    </w:div>
    <w:div w:id="657804172">
      <w:bodyDiv w:val="1"/>
      <w:marLeft w:val="0"/>
      <w:marRight w:val="0"/>
      <w:marTop w:val="0"/>
      <w:marBottom w:val="0"/>
      <w:divBdr>
        <w:top w:val="none" w:sz="0" w:space="0" w:color="auto"/>
        <w:left w:val="none" w:sz="0" w:space="0" w:color="auto"/>
        <w:bottom w:val="none" w:sz="0" w:space="0" w:color="auto"/>
        <w:right w:val="none" w:sz="0" w:space="0" w:color="auto"/>
      </w:divBdr>
    </w:div>
    <w:div w:id="702243209">
      <w:bodyDiv w:val="1"/>
      <w:marLeft w:val="0"/>
      <w:marRight w:val="0"/>
      <w:marTop w:val="0"/>
      <w:marBottom w:val="0"/>
      <w:divBdr>
        <w:top w:val="none" w:sz="0" w:space="0" w:color="auto"/>
        <w:left w:val="none" w:sz="0" w:space="0" w:color="auto"/>
        <w:bottom w:val="none" w:sz="0" w:space="0" w:color="auto"/>
        <w:right w:val="none" w:sz="0" w:space="0" w:color="auto"/>
      </w:divBdr>
    </w:div>
    <w:div w:id="739719947">
      <w:bodyDiv w:val="1"/>
      <w:marLeft w:val="0"/>
      <w:marRight w:val="0"/>
      <w:marTop w:val="0"/>
      <w:marBottom w:val="0"/>
      <w:divBdr>
        <w:top w:val="none" w:sz="0" w:space="0" w:color="auto"/>
        <w:left w:val="none" w:sz="0" w:space="0" w:color="auto"/>
        <w:bottom w:val="none" w:sz="0" w:space="0" w:color="auto"/>
        <w:right w:val="none" w:sz="0" w:space="0" w:color="auto"/>
      </w:divBdr>
    </w:div>
    <w:div w:id="742531761">
      <w:bodyDiv w:val="1"/>
      <w:marLeft w:val="0"/>
      <w:marRight w:val="0"/>
      <w:marTop w:val="0"/>
      <w:marBottom w:val="0"/>
      <w:divBdr>
        <w:top w:val="none" w:sz="0" w:space="0" w:color="auto"/>
        <w:left w:val="none" w:sz="0" w:space="0" w:color="auto"/>
        <w:bottom w:val="none" w:sz="0" w:space="0" w:color="auto"/>
        <w:right w:val="none" w:sz="0" w:space="0" w:color="auto"/>
      </w:divBdr>
    </w:div>
    <w:div w:id="905602160">
      <w:bodyDiv w:val="1"/>
      <w:marLeft w:val="0"/>
      <w:marRight w:val="0"/>
      <w:marTop w:val="0"/>
      <w:marBottom w:val="0"/>
      <w:divBdr>
        <w:top w:val="none" w:sz="0" w:space="0" w:color="auto"/>
        <w:left w:val="none" w:sz="0" w:space="0" w:color="auto"/>
        <w:bottom w:val="none" w:sz="0" w:space="0" w:color="auto"/>
        <w:right w:val="none" w:sz="0" w:space="0" w:color="auto"/>
      </w:divBdr>
    </w:div>
    <w:div w:id="985672153">
      <w:bodyDiv w:val="1"/>
      <w:marLeft w:val="0"/>
      <w:marRight w:val="0"/>
      <w:marTop w:val="0"/>
      <w:marBottom w:val="0"/>
      <w:divBdr>
        <w:top w:val="none" w:sz="0" w:space="0" w:color="auto"/>
        <w:left w:val="none" w:sz="0" w:space="0" w:color="auto"/>
        <w:bottom w:val="none" w:sz="0" w:space="0" w:color="auto"/>
        <w:right w:val="none" w:sz="0" w:space="0" w:color="auto"/>
      </w:divBdr>
    </w:div>
    <w:div w:id="1022979416">
      <w:bodyDiv w:val="1"/>
      <w:marLeft w:val="0"/>
      <w:marRight w:val="0"/>
      <w:marTop w:val="0"/>
      <w:marBottom w:val="0"/>
      <w:divBdr>
        <w:top w:val="none" w:sz="0" w:space="0" w:color="auto"/>
        <w:left w:val="none" w:sz="0" w:space="0" w:color="auto"/>
        <w:bottom w:val="none" w:sz="0" w:space="0" w:color="auto"/>
        <w:right w:val="none" w:sz="0" w:space="0" w:color="auto"/>
      </w:divBdr>
    </w:div>
    <w:div w:id="1054550175">
      <w:bodyDiv w:val="1"/>
      <w:marLeft w:val="0"/>
      <w:marRight w:val="0"/>
      <w:marTop w:val="0"/>
      <w:marBottom w:val="0"/>
      <w:divBdr>
        <w:top w:val="none" w:sz="0" w:space="0" w:color="auto"/>
        <w:left w:val="none" w:sz="0" w:space="0" w:color="auto"/>
        <w:bottom w:val="none" w:sz="0" w:space="0" w:color="auto"/>
        <w:right w:val="none" w:sz="0" w:space="0" w:color="auto"/>
      </w:divBdr>
    </w:div>
    <w:div w:id="1059206581">
      <w:bodyDiv w:val="1"/>
      <w:marLeft w:val="0"/>
      <w:marRight w:val="0"/>
      <w:marTop w:val="0"/>
      <w:marBottom w:val="0"/>
      <w:divBdr>
        <w:top w:val="none" w:sz="0" w:space="0" w:color="auto"/>
        <w:left w:val="none" w:sz="0" w:space="0" w:color="auto"/>
        <w:bottom w:val="none" w:sz="0" w:space="0" w:color="auto"/>
        <w:right w:val="none" w:sz="0" w:space="0" w:color="auto"/>
      </w:divBdr>
    </w:div>
    <w:div w:id="1104229733">
      <w:bodyDiv w:val="1"/>
      <w:marLeft w:val="0"/>
      <w:marRight w:val="0"/>
      <w:marTop w:val="0"/>
      <w:marBottom w:val="0"/>
      <w:divBdr>
        <w:top w:val="none" w:sz="0" w:space="0" w:color="auto"/>
        <w:left w:val="none" w:sz="0" w:space="0" w:color="auto"/>
        <w:bottom w:val="none" w:sz="0" w:space="0" w:color="auto"/>
        <w:right w:val="none" w:sz="0" w:space="0" w:color="auto"/>
      </w:divBdr>
    </w:div>
    <w:div w:id="1107695737">
      <w:bodyDiv w:val="1"/>
      <w:marLeft w:val="0"/>
      <w:marRight w:val="0"/>
      <w:marTop w:val="0"/>
      <w:marBottom w:val="0"/>
      <w:divBdr>
        <w:top w:val="none" w:sz="0" w:space="0" w:color="auto"/>
        <w:left w:val="none" w:sz="0" w:space="0" w:color="auto"/>
        <w:bottom w:val="none" w:sz="0" w:space="0" w:color="auto"/>
        <w:right w:val="none" w:sz="0" w:space="0" w:color="auto"/>
      </w:divBdr>
    </w:div>
    <w:div w:id="1217280545">
      <w:bodyDiv w:val="1"/>
      <w:marLeft w:val="0"/>
      <w:marRight w:val="0"/>
      <w:marTop w:val="0"/>
      <w:marBottom w:val="0"/>
      <w:divBdr>
        <w:top w:val="none" w:sz="0" w:space="0" w:color="auto"/>
        <w:left w:val="none" w:sz="0" w:space="0" w:color="auto"/>
        <w:bottom w:val="none" w:sz="0" w:space="0" w:color="auto"/>
        <w:right w:val="none" w:sz="0" w:space="0" w:color="auto"/>
      </w:divBdr>
    </w:div>
    <w:div w:id="1242523325">
      <w:bodyDiv w:val="1"/>
      <w:marLeft w:val="0"/>
      <w:marRight w:val="0"/>
      <w:marTop w:val="0"/>
      <w:marBottom w:val="0"/>
      <w:divBdr>
        <w:top w:val="none" w:sz="0" w:space="0" w:color="auto"/>
        <w:left w:val="none" w:sz="0" w:space="0" w:color="auto"/>
        <w:bottom w:val="none" w:sz="0" w:space="0" w:color="auto"/>
        <w:right w:val="none" w:sz="0" w:space="0" w:color="auto"/>
      </w:divBdr>
    </w:div>
    <w:div w:id="1267619208">
      <w:bodyDiv w:val="1"/>
      <w:marLeft w:val="0"/>
      <w:marRight w:val="0"/>
      <w:marTop w:val="0"/>
      <w:marBottom w:val="0"/>
      <w:divBdr>
        <w:top w:val="none" w:sz="0" w:space="0" w:color="auto"/>
        <w:left w:val="none" w:sz="0" w:space="0" w:color="auto"/>
        <w:bottom w:val="none" w:sz="0" w:space="0" w:color="auto"/>
        <w:right w:val="none" w:sz="0" w:space="0" w:color="auto"/>
      </w:divBdr>
    </w:div>
    <w:div w:id="1285843190">
      <w:bodyDiv w:val="1"/>
      <w:marLeft w:val="0"/>
      <w:marRight w:val="0"/>
      <w:marTop w:val="0"/>
      <w:marBottom w:val="0"/>
      <w:divBdr>
        <w:top w:val="none" w:sz="0" w:space="0" w:color="auto"/>
        <w:left w:val="none" w:sz="0" w:space="0" w:color="auto"/>
        <w:bottom w:val="none" w:sz="0" w:space="0" w:color="auto"/>
        <w:right w:val="none" w:sz="0" w:space="0" w:color="auto"/>
      </w:divBdr>
    </w:div>
    <w:div w:id="1346441973">
      <w:bodyDiv w:val="1"/>
      <w:marLeft w:val="0"/>
      <w:marRight w:val="0"/>
      <w:marTop w:val="0"/>
      <w:marBottom w:val="0"/>
      <w:divBdr>
        <w:top w:val="none" w:sz="0" w:space="0" w:color="auto"/>
        <w:left w:val="none" w:sz="0" w:space="0" w:color="auto"/>
        <w:bottom w:val="none" w:sz="0" w:space="0" w:color="auto"/>
        <w:right w:val="none" w:sz="0" w:space="0" w:color="auto"/>
      </w:divBdr>
    </w:div>
    <w:div w:id="1384409897">
      <w:bodyDiv w:val="1"/>
      <w:marLeft w:val="0"/>
      <w:marRight w:val="0"/>
      <w:marTop w:val="0"/>
      <w:marBottom w:val="0"/>
      <w:divBdr>
        <w:top w:val="none" w:sz="0" w:space="0" w:color="auto"/>
        <w:left w:val="none" w:sz="0" w:space="0" w:color="auto"/>
        <w:bottom w:val="none" w:sz="0" w:space="0" w:color="auto"/>
        <w:right w:val="none" w:sz="0" w:space="0" w:color="auto"/>
      </w:divBdr>
    </w:div>
    <w:div w:id="1444493842">
      <w:bodyDiv w:val="1"/>
      <w:marLeft w:val="0"/>
      <w:marRight w:val="0"/>
      <w:marTop w:val="0"/>
      <w:marBottom w:val="0"/>
      <w:divBdr>
        <w:top w:val="none" w:sz="0" w:space="0" w:color="auto"/>
        <w:left w:val="none" w:sz="0" w:space="0" w:color="auto"/>
        <w:bottom w:val="none" w:sz="0" w:space="0" w:color="auto"/>
        <w:right w:val="none" w:sz="0" w:space="0" w:color="auto"/>
      </w:divBdr>
    </w:div>
    <w:div w:id="1498111387">
      <w:bodyDiv w:val="1"/>
      <w:marLeft w:val="0"/>
      <w:marRight w:val="0"/>
      <w:marTop w:val="0"/>
      <w:marBottom w:val="0"/>
      <w:divBdr>
        <w:top w:val="none" w:sz="0" w:space="0" w:color="auto"/>
        <w:left w:val="none" w:sz="0" w:space="0" w:color="auto"/>
        <w:bottom w:val="none" w:sz="0" w:space="0" w:color="auto"/>
        <w:right w:val="none" w:sz="0" w:space="0" w:color="auto"/>
      </w:divBdr>
    </w:div>
    <w:div w:id="1573809595">
      <w:bodyDiv w:val="1"/>
      <w:marLeft w:val="0"/>
      <w:marRight w:val="0"/>
      <w:marTop w:val="0"/>
      <w:marBottom w:val="0"/>
      <w:divBdr>
        <w:top w:val="none" w:sz="0" w:space="0" w:color="auto"/>
        <w:left w:val="none" w:sz="0" w:space="0" w:color="auto"/>
        <w:bottom w:val="none" w:sz="0" w:space="0" w:color="auto"/>
        <w:right w:val="none" w:sz="0" w:space="0" w:color="auto"/>
      </w:divBdr>
    </w:div>
    <w:div w:id="1743019509">
      <w:bodyDiv w:val="1"/>
      <w:marLeft w:val="0"/>
      <w:marRight w:val="0"/>
      <w:marTop w:val="0"/>
      <w:marBottom w:val="0"/>
      <w:divBdr>
        <w:top w:val="none" w:sz="0" w:space="0" w:color="auto"/>
        <w:left w:val="none" w:sz="0" w:space="0" w:color="auto"/>
        <w:bottom w:val="none" w:sz="0" w:space="0" w:color="auto"/>
        <w:right w:val="none" w:sz="0" w:space="0" w:color="auto"/>
      </w:divBdr>
    </w:div>
    <w:div w:id="1813013864">
      <w:bodyDiv w:val="1"/>
      <w:marLeft w:val="0"/>
      <w:marRight w:val="0"/>
      <w:marTop w:val="0"/>
      <w:marBottom w:val="0"/>
      <w:divBdr>
        <w:top w:val="none" w:sz="0" w:space="0" w:color="auto"/>
        <w:left w:val="none" w:sz="0" w:space="0" w:color="auto"/>
        <w:bottom w:val="none" w:sz="0" w:space="0" w:color="auto"/>
        <w:right w:val="none" w:sz="0" w:space="0" w:color="auto"/>
      </w:divBdr>
    </w:div>
    <w:div w:id="1818188094">
      <w:bodyDiv w:val="1"/>
      <w:marLeft w:val="0"/>
      <w:marRight w:val="0"/>
      <w:marTop w:val="0"/>
      <w:marBottom w:val="0"/>
      <w:divBdr>
        <w:top w:val="none" w:sz="0" w:space="0" w:color="auto"/>
        <w:left w:val="none" w:sz="0" w:space="0" w:color="auto"/>
        <w:bottom w:val="none" w:sz="0" w:space="0" w:color="auto"/>
        <w:right w:val="none" w:sz="0" w:space="0" w:color="auto"/>
      </w:divBdr>
    </w:div>
    <w:div w:id="1896115436">
      <w:bodyDiv w:val="1"/>
      <w:marLeft w:val="0"/>
      <w:marRight w:val="0"/>
      <w:marTop w:val="0"/>
      <w:marBottom w:val="0"/>
      <w:divBdr>
        <w:top w:val="none" w:sz="0" w:space="0" w:color="auto"/>
        <w:left w:val="none" w:sz="0" w:space="0" w:color="auto"/>
        <w:bottom w:val="none" w:sz="0" w:space="0" w:color="auto"/>
        <w:right w:val="none" w:sz="0" w:space="0" w:color="auto"/>
      </w:divBdr>
    </w:div>
    <w:div w:id="2057579200">
      <w:bodyDiv w:val="1"/>
      <w:marLeft w:val="0"/>
      <w:marRight w:val="0"/>
      <w:marTop w:val="0"/>
      <w:marBottom w:val="0"/>
      <w:divBdr>
        <w:top w:val="none" w:sz="0" w:space="0" w:color="auto"/>
        <w:left w:val="none" w:sz="0" w:space="0" w:color="auto"/>
        <w:bottom w:val="none" w:sz="0" w:space="0" w:color="auto"/>
        <w:right w:val="none" w:sz="0" w:space="0" w:color="auto"/>
      </w:divBdr>
    </w:div>
    <w:div w:id="212962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A26AC-A9F5-4B3C-9B06-645C1F2F4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1</Pages>
  <Words>4611</Words>
  <Characters>26283</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96</cp:revision>
  <cp:lastPrinted>2024-03-06T19:31:00Z</cp:lastPrinted>
  <dcterms:created xsi:type="dcterms:W3CDTF">2022-06-28T11:28:00Z</dcterms:created>
  <dcterms:modified xsi:type="dcterms:W3CDTF">2024-03-04T12:38:00Z</dcterms:modified>
</cp:coreProperties>
</file>